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470" w:rsidRDefault="00FD0470" w:rsidP="00912F08">
      <w:pPr>
        <w:pStyle w:val="p0"/>
        <w:spacing w:line="300" w:lineRule="atLeast"/>
        <w:ind w:right="-693"/>
        <w:jc w:val="left"/>
        <w:rPr>
          <w:rFonts w:ascii="黑体" w:eastAsia="黑体" w:hAnsi="黑体"/>
          <w:b/>
          <w:bCs/>
          <w:sz w:val="24"/>
          <w:szCs w:val="24"/>
        </w:rPr>
      </w:pPr>
      <w:r>
        <w:rPr>
          <w:rFonts w:ascii="黑体" w:eastAsia="黑体" w:hAnsi="黑体" w:hint="eastAsia"/>
          <w:b/>
          <w:bCs/>
          <w:sz w:val="24"/>
          <w:szCs w:val="24"/>
        </w:rPr>
        <w:t>产品等级编码：</w:t>
      </w:r>
      <w:r w:rsidRPr="00FD0470">
        <w:rPr>
          <w:rFonts w:ascii="黑体" w:eastAsia="黑体" w:hAnsi="黑体"/>
          <w:b/>
          <w:bCs/>
          <w:sz w:val="24"/>
          <w:szCs w:val="24"/>
        </w:rPr>
        <w:t>C1030213000142</w:t>
      </w:r>
    </w:p>
    <w:p w:rsidR="00C654DA" w:rsidRDefault="00B04975">
      <w:pPr>
        <w:pStyle w:val="p0"/>
        <w:spacing w:line="300" w:lineRule="atLeast"/>
        <w:ind w:left="718" w:right="-693"/>
        <w:jc w:val="center"/>
        <w:rPr>
          <w:rFonts w:ascii="黑体" w:eastAsia="黑体" w:hAnsi="黑体"/>
          <w:b/>
          <w:bCs/>
          <w:sz w:val="24"/>
          <w:szCs w:val="24"/>
        </w:rPr>
      </w:pPr>
      <w:r>
        <w:rPr>
          <w:rFonts w:ascii="黑体" w:eastAsia="黑体" w:hAnsi="黑体" w:hint="eastAsia"/>
          <w:b/>
          <w:bCs/>
          <w:sz w:val="24"/>
          <w:szCs w:val="24"/>
        </w:rPr>
        <w:t>中信理财之月月</w:t>
      </w:r>
      <w:proofErr w:type="gramStart"/>
      <w:r>
        <w:rPr>
          <w:rFonts w:ascii="黑体" w:eastAsia="黑体" w:hAnsi="黑体" w:hint="eastAsia"/>
          <w:b/>
          <w:bCs/>
          <w:sz w:val="24"/>
          <w:szCs w:val="24"/>
        </w:rPr>
        <w:t>赢系列</w:t>
      </w:r>
      <w:proofErr w:type="gramEnd"/>
      <w:r>
        <w:rPr>
          <w:rFonts w:ascii="黑体" w:eastAsia="黑体" w:hAnsi="黑体" w:hint="eastAsia"/>
          <w:b/>
          <w:bCs/>
          <w:sz w:val="24"/>
          <w:szCs w:val="24"/>
        </w:rPr>
        <w:t>人民币理财产品风险揭示书</w:t>
      </w:r>
    </w:p>
    <w:p w:rsidR="00C654DA" w:rsidRDefault="00B04975">
      <w:pPr>
        <w:pStyle w:val="p0"/>
        <w:spacing w:line="300" w:lineRule="atLeast"/>
        <w:ind w:left="718" w:right="-693"/>
        <w:jc w:val="center"/>
        <w:rPr>
          <w:rFonts w:ascii="黑体" w:eastAsia="黑体" w:hAnsi="黑体"/>
          <w:b/>
          <w:bCs/>
          <w:sz w:val="24"/>
          <w:szCs w:val="24"/>
        </w:rPr>
      </w:pPr>
      <w:r>
        <w:rPr>
          <w:rFonts w:ascii="黑体" w:eastAsia="黑体" w:hAnsi="黑体" w:hint="eastAsia"/>
          <w:b/>
          <w:bCs/>
          <w:sz w:val="24"/>
          <w:szCs w:val="24"/>
        </w:rPr>
        <w:t xml:space="preserve"> </w:t>
      </w:r>
    </w:p>
    <w:p w:rsidR="00C654DA" w:rsidRDefault="00B04975">
      <w:pPr>
        <w:pStyle w:val="p26"/>
        <w:rPr>
          <w:rFonts w:ascii="楷体_GB2312" w:eastAsia="楷体_GB2312" w:hint="eastAsia"/>
        </w:rPr>
      </w:pPr>
      <w:r>
        <w:rPr>
          <w:rFonts w:ascii="楷体_GB2312" w:eastAsia="楷体_GB2312" w:hint="eastAsia"/>
        </w:rPr>
        <w:t xml:space="preserve">尊敬的客户： </w:t>
      </w:r>
    </w:p>
    <w:p w:rsidR="00C654DA" w:rsidRDefault="00B04975">
      <w:pPr>
        <w:pStyle w:val="p26"/>
        <w:ind w:firstLine="420"/>
        <w:rPr>
          <w:rFonts w:ascii="楷体_GB2312" w:eastAsia="楷体_GB2312" w:hint="eastAsia"/>
        </w:rPr>
      </w:pPr>
      <w:r>
        <w:rPr>
          <w:rFonts w:ascii="楷体_GB2312" w:eastAsia="楷体_GB2312" w:hint="eastAsia"/>
        </w:rPr>
        <w:t>理财资金管理运用过程中，可能会面临多种风险因素，包括但不限于政策风险、延期风险、流动性风险、再投资风险、信息传递风险、理财产品不成立风险和不可抗力风险。具体风险的含义，请您认真阅读本理财产品说明书中相应的风险揭示部分。</w:t>
      </w:r>
    </w:p>
    <w:p w:rsidR="00C654DA" w:rsidRDefault="00B04975">
      <w:pPr>
        <w:pStyle w:val="p26"/>
        <w:ind w:firstLine="420"/>
        <w:rPr>
          <w:rFonts w:ascii="楷体_GB2312" w:eastAsia="楷体_GB2312" w:hint="eastAsia"/>
          <w:b/>
          <w:bCs/>
        </w:rPr>
      </w:pPr>
      <w:r>
        <w:rPr>
          <w:rFonts w:ascii="楷体_GB2312" w:eastAsia="楷体_GB2312" w:hint="eastAsia"/>
        </w:rPr>
        <w:t>由于相关风险因素可能导致您的本金及收益全部或部分损失，因此，在您选择购买本理财产品前，请仔细阅读理财产品销售文件，包括理财产品销售协议书、理财产品说明书、风险揭示书及客户权益须知等</w:t>
      </w:r>
      <w:r>
        <w:rPr>
          <w:rFonts w:ascii="楷体_GB2312" w:eastAsia="楷体_GB2312" w:hint="eastAsia"/>
          <w:b/>
          <w:bCs/>
        </w:rPr>
        <w:t>。</w:t>
      </w:r>
    </w:p>
    <w:p w:rsidR="00C654DA" w:rsidRDefault="00B04975">
      <w:pPr>
        <w:pStyle w:val="p26"/>
        <w:ind w:firstLine="420"/>
        <w:rPr>
          <w:rFonts w:ascii="楷体_GB2312" w:eastAsia="楷体_GB2312" w:hint="eastAsia"/>
        </w:rPr>
      </w:pPr>
      <w:r>
        <w:rPr>
          <w:rFonts w:ascii="黑体" w:eastAsia="黑体" w:hAnsi="黑体" w:hint="eastAsia"/>
        </w:rPr>
        <w:t>重要提示</w:t>
      </w:r>
      <w:r>
        <w:rPr>
          <w:rFonts w:ascii="楷体_GB2312" w:eastAsia="楷体_GB2312" w:hint="eastAsia"/>
        </w:rPr>
        <w:t>：保证收益理财产品有投资风险，只能保证获得合同明确承诺的收益；保本浮动收益理财产品有投资风险，只保障理财资金本金，不保证理财收益；非保本浮动收益理财产品不保证本金和收益，您可能因市场变动而损失全部本金且无法取得任何收益。</w:t>
      </w:r>
    </w:p>
    <w:p w:rsidR="00C654DA" w:rsidRDefault="00B04975">
      <w:pPr>
        <w:pStyle w:val="p26"/>
        <w:ind w:firstLine="420"/>
        <w:rPr>
          <w:rFonts w:ascii="楷体_GB2312" w:eastAsia="楷体_GB2312" w:hint="eastAsia"/>
        </w:rPr>
      </w:pPr>
      <w:r>
        <w:rPr>
          <w:rFonts w:ascii="楷体_GB2312" w:eastAsia="楷体_GB2312" w:hint="eastAsia"/>
        </w:rPr>
        <w:t>本理财产品名称为</w:t>
      </w:r>
      <w:r>
        <w:rPr>
          <w:rFonts w:ascii="楷体_GB2312" w:eastAsia="楷体_GB2312" w:hint="eastAsia"/>
          <w:b/>
          <w:bCs/>
          <w:color w:val="FF0000"/>
        </w:rPr>
        <w:t>中信理财之月月</w:t>
      </w:r>
      <w:proofErr w:type="gramStart"/>
      <w:r>
        <w:rPr>
          <w:rFonts w:ascii="楷体_GB2312" w:eastAsia="楷体_GB2312" w:hint="eastAsia"/>
          <w:b/>
          <w:bCs/>
          <w:color w:val="FF0000"/>
        </w:rPr>
        <w:t>赢系列</w:t>
      </w:r>
      <w:proofErr w:type="gramEnd"/>
      <w:r>
        <w:rPr>
          <w:rFonts w:ascii="楷体_GB2312" w:eastAsia="楷体_GB2312" w:hint="eastAsia"/>
          <w:b/>
          <w:bCs/>
          <w:color w:val="FF0000"/>
        </w:rPr>
        <w:t>人民币理财产品</w:t>
      </w:r>
      <w:r>
        <w:rPr>
          <w:rFonts w:ascii="楷体_GB2312" w:eastAsia="楷体_GB2312" w:hint="eastAsia"/>
        </w:rPr>
        <w:t>，产品编码为</w:t>
      </w:r>
      <w:r>
        <w:rPr>
          <w:rFonts w:ascii="楷体_GB2312" w:eastAsia="楷体_GB2312" w:hint="eastAsia"/>
          <w:b/>
          <w:bCs/>
          <w:color w:val="FF0000"/>
        </w:rPr>
        <w:t>B130A0113</w:t>
      </w:r>
      <w:r>
        <w:rPr>
          <w:rFonts w:ascii="楷体_GB2312" w:eastAsia="楷体_GB2312" w:hint="eastAsia"/>
        </w:rPr>
        <w:t>，类型为</w:t>
      </w:r>
      <w:r>
        <w:rPr>
          <w:rFonts w:ascii="楷体_GB2312" w:eastAsia="楷体_GB2312" w:hint="eastAsia"/>
          <w:color w:val="FF0000"/>
        </w:rPr>
        <w:t>非保本浮动收益型</w:t>
      </w:r>
      <w:r>
        <w:rPr>
          <w:rFonts w:ascii="楷体_GB2312" w:eastAsia="楷体_GB2312" w:hint="eastAsia"/>
        </w:rPr>
        <w:t>，开放型，无名义存续期限(受提前终止条款约束)，风险评级为</w:t>
      </w:r>
      <w:r>
        <w:rPr>
          <w:rFonts w:ascii="楷体_GB2312" w:eastAsia="楷体_GB2312" w:hint="eastAsia"/>
          <w:color w:val="FF0000"/>
        </w:rPr>
        <w:t xml:space="preserve"> PR2</w:t>
      </w:r>
      <w:r>
        <w:rPr>
          <w:rFonts w:ascii="楷体_GB2312" w:eastAsia="楷体_GB2312" w:hint="eastAsia"/>
          <w:color w:val="FF0000"/>
          <w:sz w:val="20"/>
          <w:szCs w:val="20"/>
        </w:rPr>
        <w:t xml:space="preserve"> </w:t>
      </w:r>
      <w:r>
        <w:rPr>
          <w:rFonts w:ascii="楷体_GB2312" w:eastAsia="楷体_GB2312" w:hint="eastAsia"/>
        </w:rPr>
        <w:t xml:space="preserve">，适合购买客户为风险承受能力为 </w:t>
      </w:r>
      <w:r>
        <w:rPr>
          <w:rFonts w:ascii="楷体_GB2312" w:eastAsia="楷体_GB2312" w:hint="eastAsia"/>
          <w:color w:val="FF0000"/>
        </w:rPr>
        <w:t xml:space="preserve">稳健型 </w:t>
      </w:r>
      <w:r>
        <w:rPr>
          <w:rFonts w:ascii="楷体_GB2312" w:eastAsia="楷体_GB2312" w:hint="eastAsia"/>
        </w:rPr>
        <w:t>及以上的客户。您应充分认识投资风险，谨慎投资！</w:t>
      </w:r>
    </w:p>
    <w:p w:rsidR="00C654DA" w:rsidRDefault="00B04975">
      <w:pPr>
        <w:pStyle w:val="p26"/>
        <w:ind w:firstLine="420"/>
        <w:rPr>
          <w:rFonts w:ascii="楷体_GB2312" w:eastAsia="楷体_GB2312" w:hint="eastAsia"/>
        </w:rPr>
      </w:pPr>
      <w:r>
        <w:rPr>
          <w:rFonts w:ascii="楷体_GB2312" w:eastAsia="楷体_GB2312" w:hint="eastAsia"/>
        </w:rPr>
        <w:t xml:space="preserve"> </w:t>
      </w:r>
    </w:p>
    <w:p w:rsidR="00C654DA" w:rsidRDefault="00B04975">
      <w:pPr>
        <w:pStyle w:val="p26"/>
        <w:ind w:firstLine="420"/>
        <w:rPr>
          <w:rFonts w:ascii="楷体_GB2312" w:eastAsia="楷体_GB2312" w:hint="eastAsia"/>
          <w:b/>
          <w:bCs/>
        </w:rPr>
      </w:pPr>
      <w:r>
        <w:rPr>
          <w:rFonts w:ascii="楷体_GB2312" w:eastAsia="楷体_GB2312" w:hint="eastAsia"/>
          <w:b/>
          <w:bCs/>
        </w:rPr>
        <w:t>示例：若投资者购买本理财产品，理财产品本金为1亿元，在最不利情况下，理财本金及收益全部损失。</w:t>
      </w:r>
    </w:p>
    <w:p w:rsidR="00C654DA" w:rsidRDefault="00B04975">
      <w:pPr>
        <w:pStyle w:val="p26"/>
        <w:ind w:firstLine="420"/>
        <w:rPr>
          <w:rFonts w:ascii="楷体_GB2312" w:eastAsia="楷体_GB2312" w:hint="eastAsia"/>
          <w:b/>
          <w:bCs/>
        </w:rPr>
      </w:pPr>
      <w:r>
        <w:rPr>
          <w:rFonts w:ascii="楷体_GB2312" w:eastAsia="楷体_GB2312" w:hint="eastAsia"/>
          <w:b/>
          <w:bCs/>
        </w:rPr>
        <w:t xml:space="preserve"> </w:t>
      </w:r>
    </w:p>
    <w:p w:rsidR="00C654DA" w:rsidRDefault="00B04975">
      <w:pPr>
        <w:pStyle w:val="p26"/>
        <w:ind w:firstLine="420"/>
        <w:rPr>
          <w:rFonts w:ascii="楷体_GB2312" w:eastAsia="楷体_GB2312" w:hint="eastAsia"/>
        </w:rPr>
      </w:pPr>
      <w:r>
        <w:rPr>
          <w:rFonts w:ascii="楷体_GB2312" w:eastAsia="楷体_GB2312" w:hint="eastAsia"/>
        </w:rPr>
        <w:t>如影响</w:t>
      </w:r>
      <w:proofErr w:type="gramStart"/>
      <w:r>
        <w:rPr>
          <w:rFonts w:ascii="楷体_GB2312" w:eastAsia="楷体_GB2312" w:hint="eastAsia"/>
        </w:rPr>
        <w:t>您风险</w:t>
      </w:r>
      <w:proofErr w:type="gramEnd"/>
      <w:r>
        <w:rPr>
          <w:rFonts w:ascii="楷体_GB2312" w:eastAsia="楷体_GB2312" w:hint="eastAsia"/>
        </w:rPr>
        <w:t xml:space="preserve">承受能力的因素发生变化，请及时告知我行并重新进行风险承受能力评估。 </w:t>
      </w:r>
    </w:p>
    <w:p w:rsidR="00C654DA" w:rsidRDefault="00B04975">
      <w:pPr>
        <w:pStyle w:val="p26"/>
        <w:jc w:val="right"/>
        <w:rPr>
          <w:rFonts w:ascii="楷体_GB2312" w:eastAsia="楷体_GB2312" w:hint="eastAsia"/>
        </w:rPr>
      </w:pPr>
      <w:r>
        <w:rPr>
          <w:rFonts w:ascii="楷体_GB2312" w:eastAsia="楷体_GB2312" w:hint="eastAsia"/>
        </w:rPr>
        <w:t>风险揭示方： 中信银行股份有限公司</w:t>
      </w:r>
    </w:p>
    <w:p w:rsidR="00C654DA" w:rsidRDefault="00B04975">
      <w:pPr>
        <w:pStyle w:val="p26"/>
        <w:ind w:firstLine="420"/>
        <w:rPr>
          <w:rFonts w:ascii="楷体_GB2312" w:eastAsia="楷体_GB2312" w:hint="eastAsia"/>
        </w:rPr>
      </w:pPr>
      <w:r>
        <w:rPr>
          <w:rFonts w:ascii="楷体_GB2312" w:eastAsia="楷体_GB2312" w:hint="eastAsia"/>
        </w:rPr>
        <w:t xml:space="preserve"> </w:t>
      </w:r>
    </w:p>
    <w:p w:rsidR="00C654DA" w:rsidRDefault="00B04975">
      <w:pPr>
        <w:pStyle w:val="p26"/>
        <w:jc w:val="center"/>
        <w:rPr>
          <w:rFonts w:ascii="楷体_GB2312" w:eastAsia="楷体_GB2312" w:hint="eastAsia"/>
          <w:b/>
          <w:bCs/>
          <w:u w:val="single"/>
        </w:rPr>
      </w:pPr>
      <w:r>
        <w:rPr>
          <w:rFonts w:ascii="楷体_GB2312" w:eastAsia="楷体_GB2312" w:hint="eastAsia"/>
          <w:b/>
          <w:bCs/>
          <w:u w:val="single"/>
        </w:rPr>
        <w:t>客 户 确 认 栏</w:t>
      </w:r>
    </w:p>
    <w:p w:rsidR="00C654DA" w:rsidRDefault="00B04975">
      <w:pPr>
        <w:pStyle w:val="p26"/>
        <w:ind w:firstLine="420"/>
        <w:rPr>
          <w:rFonts w:ascii="楷体_GB2312" w:eastAsia="楷体_GB2312" w:hint="eastAsia"/>
        </w:rPr>
      </w:pPr>
      <w:r>
        <w:rPr>
          <w:rFonts w:ascii="楷体_GB2312" w:eastAsia="楷体_GB2312" w:hint="eastAsia"/>
        </w:rPr>
        <w:t xml:space="preserve">本人确认购买该理财产品为本人真实的意思表示,并认为该理财产品完全适合本人的投资目标、投资预期以及风险承受能力，本人自愿承担由此带来的一切后果。本人确认中信银行相关业务人员对于理财产品销售文件中限制本人权利、增加本人义务以及有关免除、限制中信银行责任或中信银行单方面拥有某些权利的条款已向本人予以说明，本人已完全理解并自愿接受。 </w:t>
      </w:r>
    </w:p>
    <w:p w:rsidR="00C654DA" w:rsidRDefault="00B04975">
      <w:pPr>
        <w:pStyle w:val="p26"/>
        <w:ind w:firstLine="420"/>
        <w:rPr>
          <w:rFonts w:ascii="楷体_GB2312" w:eastAsia="楷体_GB2312" w:hint="eastAsia"/>
        </w:rPr>
      </w:pPr>
      <w:r>
        <w:rPr>
          <w:rFonts w:ascii="楷体_GB2312" w:eastAsia="楷体_GB2312" w:hint="eastAsia"/>
        </w:rPr>
        <w:t>本人确认已阅知客户权益须知，完全清楚理财产品购买流程、风险评估、产品评级含义、信息披露方式及渠道、银行联系方式及投诉程序等内容。</w:t>
      </w:r>
    </w:p>
    <w:p w:rsidR="00C654DA" w:rsidRDefault="00B04975">
      <w:pPr>
        <w:pStyle w:val="p26"/>
        <w:ind w:firstLine="420"/>
        <w:rPr>
          <w:rFonts w:ascii="楷体_GB2312" w:eastAsia="楷体_GB2312" w:hint="eastAsia"/>
        </w:rPr>
      </w:pPr>
      <w:r>
        <w:rPr>
          <w:rFonts w:ascii="楷体_GB2312" w:eastAsia="楷体_GB2312" w:hint="eastAsia"/>
        </w:rPr>
        <w:t xml:space="preserve">本人确认如下： </w:t>
      </w:r>
    </w:p>
    <w:p w:rsidR="00C654DA" w:rsidRDefault="00B04975">
      <w:pPr>
        <w:pStyle w:val="p26"/>
        <w:ind w:firstLine="420"/>
        <w:rPr>
          <w:rFonts w:ascii="楷体_GB2312" w:eastAsia="楷体_GB2312" w:hint="eastAsia"/>
        </w:rPr>
      </w:pPr>
      <w:r>
        <w:rPr>
          <w:rFonts w:ascii="楷体_GB2312" w:eastAsia="楷体_GB2312" w:hint="eastAsia"/>
        </w:rPr>
        <w:t xml:space="preserve">本人风险承受能力评级为（由个人客户亲自填写）： </w:t>
      </w:r>
    </w:p>
    <w:p w:rsidR="00C654DA" w:rsidRDefault="00B04975">
      <w:pPr>
        <w:pStyle w:val="p26"/>
        <w:rPr>
          <w:rFonts w:ascii="楷体_GB2312" w:eastAsia="楷体_GB2312" w:hint="eastAsia"/>
        </w:rPr>
      </w:pPr>
      <w:r>
        <w:rPr>
          <w:rFonts w:ascii="楷体_GB2312" w:eastAsia="楷体_GB2312" w:hint="eastAsia"/>
        </w:rPr>
        <w:t>（个人客户需全文抄录以下文字以完成确认：</w:t>
      </w:r>
      <w:r>
        <w:rPr>
          <w:rFonts w:ascii="楷体_GB2312" w:eastAsia="楷体_GB2312" w:hint="eastAsia"/>
          <w:b/>
          <w:bCs/>
        </w:rPr>
        <w:t>本人已经阅读风险揭示，愿意承担投资风险</w:t>
      </w:r>
      <w:r>
        <w:rPr>
          <w:rFonts w:ascii="楷体_GB2312" w:eastAsia="楷体_GB2312" w:hint="eastAsia"/>
        </w:rPr>
        <w:t xml:space="preserve">。） </w:t>
      </w:r>
    </w:p>
    <w:p w:rsidR="00C654DA" w:rsidRDefault="00B04975">
      <w:pPr>
        <w:pStyle w:val="p26"/>
        <w:rPr>
          <w:rFonts w:ascii="楷体_GB2312" w:eastAsia="楷体_GB2312" w:hint="eastAsia"/>
          <w:sz w:val="22"/>
          <w:szCs w:val="22"/>
          <w:u w:val="single"/>
        </w:rPr>
      </w:pPr>
      <w:r>
        <w:rPr>
          <w:rFonts w:ascii="楷体_GB2312" w:eastAsia="楷体_GB2312" w:hint="eastAsia"/>
          <w:sz w:val="22"/>
          <w:szCs w:val="22"/>
          <w:u w:val="single"/>
        </w:rPr>
        <w:t xml:space="preserve">                                                                           </w:t>
      </w:r>
    </w:p>
    <w:p w:rsidR="00C654DA" w:rsidRDefault="00B04975">
      <w:pPr>
        <w:pStyle w:val="p26"/>
        <w:ind w:right="440"/>
        <w:jc w:val="both"/>
        <w:rPr>
          <w:rFonts w:ascii="黑体" w:eastAsia="黑体" w:hAnsi="黑体"/>
        </w:rPr>
      </w:pPr>
      <w:r>
        <w:rPr>
          <w:rFonts w:ascii="黑体" w:eastAsia="黑体" w:hAnsi="黑体" w:hint="eastAsia"/>
        </w:rPr>
        <w:t>个人客户（签字）：                机构客户（盖章）：</w:t>
      </w:r>
    </w:p>
    <w:p w:rsidR="00C654DA" w:rsidRDefault="00B04975">
      <w:pPr>
        <w:pStyle w:val="p26"/>
        <w:ind w:right="440"/>
        <w:jc w:val="both"/>
        <w:rPr>
          <w:rFonts w:ascii="黑体" w:eastAsia="黑体" w:hAnsi="黑体"/>
        </w:rPr>
      </w:pPr>
      <w:r>
        <w:rPr>
          <w:rFonts w:ascii="黑体" w:eastAsia="黑体" w:hAnsi="黑体" w:hint="eastAsia"/>
        </w:rPr>
        <w:t xml:space="preserve">                                  法定代表人(或授权代理人)（签章）：</w:t>
      </w:r>
    </w:p>
    <w:p w:rsidR="00C654DA" w:rsidRDefault="00B04975">
      <w:pPr>
        <w:pStyle w:val="p26"/>
        <w:ind w:right="440"/>
        <w:jc w:val="both"/>
        <w:rPr>
          <w:rFonts w:hint="eastAsia"/>
        </w:rPr>
      </w:pPr>
      <w:r>
        <w:rPr>
          <w:rFonts w:ascii="黑体" w:eastAsia="黑体" w:hAnsi="黑体" w:hint="eastAsia"/>
        </w:rPr>
        <w:t>日期： 年 月 日                   日期： 年 月 日</w:t>
      </w:r>
    </w:p>
    <w:p w:rsidR="00C654DA" w:rsidRDefault="00C654DA">
      <w:pPr>
        <w:rPr>
          <w:rFonts w:ascii="黑体" w:eastAsia="黑体" w:hAnsi="黑体"/>
          <w:color w:val="000000"/>
          <w:spacing w:val="10"/>
        </w:rPr>
        <w:sectPr w:rsidR="00C654DA">
          <w:pgSz w:w="11906" w:h="16838"/>
          <w:pgMar w:top="1440" w:right="1800" w:bottom="1440" w:left="1800" w:header="851" w:footer="992" w:gutter="0"/>
          <w:cols w:space="425"/>
          <w:docGrid w:type="lines" w:linePitch="312"/>
        </w:sectPr>
      </w:pPr>
    </w:p>
    <w:p w:rsidR="00C654DA" w:rsidRDefault="00C654DA">
      <w:pPr>
        <w:rPr>
          <w:rFonts w:ascii="黑体" w:eastAsia="黑体" w:hAnsi="黑体"/>
          <w:b/>
          <w:bCs/>
          <w:color w:val="000000"/>
        </w:rPr>
        <w:sectPr w:rsidR="00C654DA">
          <w:pgSz w:w="11906" w:h="16838"/>
          <w:pgMar w:top="1440" w:right="1800" w:bottom="1440" w:left="1800" w:header="720" w:footer="720" w:gutter="0"/>
          <w:cols w:space="720"/>
          <w:docGrid w:type="lines" w:linePitch="312"/>
        </w:sectPr>
      </w:pPr>
    </w:p>
    <w:p w:rsidR="00C654DA" w:rsidRDefault="00B04975">
      <w:pPr>
        <w:pStyle w:val="p0"/>
        <w:spacing w:line="300" w:lineRule="atLeast"/>
        <w:ind w:right="-693"/>
        <w:jc w:val="center"/>
        <w:rPr>
          <w:rFonts w:ascii="黑体" w:eastAsia="黑体" w:hAnsi="黑体"/>
          <w:b/>
          <w:bCs/>
          <w:sz w:val="24"/>
          <w:szCs w:val="24"/>
        </w:rPr>
      </w:pPr>
      <w:r>
        <w:rPr>
          <w:rFonts w:ascii="黑体" w:eastAsia="黑体" w:hAnsi="黑体" w:hint="eastAsia"/>
          <w:b/>
          <w:bCs/>
          <w:sz w:val="24"/>
          <w:szCs w:val="24"/>
        </w:rPr>
        <w:lastRenderedPageBreak/>
        <w:t>中信理财之月月</w:t>
      </w:r>
      <w:proofErr w:type="gramStart"/>
      <w:r>
        <w:rPr>
          <w:rFonts w:ascii="黑体" w:eastAsia="黑体" w:hAnsi="黑体" w:hint="eastAsia"/>
          <w:b/>
          <w:bCs/>
          <w:sz w:val="24"/>
          <w:szCs w:val="24"/>
        </w:rPr>
        <w:t>赢系列</w:t>
      </w:r>
      <w:proofErr w:type="gramEnd"/>
      <w:r>
        <w:rPr>
          <w:rFonts w:ascii="黑体" w:eastAsia="黑体" w:hAnsi="黑体" w:hint="eastAsia"/>
          <w:b/>
          <w:bCs/>
          <w:sz w:val="24"/>
          <w:szCs w:val="24"/>
        </w:rPr>
        <w:t>人民币理财产品说明</w:t>
      </w:r>
    </w:p>
    <w:p w:rsidR="00C654DA" w:rsidRDefault="00B04975">
      <w:pPr>
        <w:pStyle w:val="p0"/>
        <w:spacing w:line="300" w:lineRule="atLeast"/>
        <w:ind w:right="-693"/>
        <w:jc w:val="center"/>
        <w:rPr>
          <w:rFonts w:ascii="黑体" w:eastAsia="黑体" w:hAnsi="黑体"/>
          <w:b/>
          <w:bCs/>
          <w:sz w:val="20"/>
          <w:szCs w:val="20"/>
        </w:rPr>
      </w:pPr>
      <w:r>
        <w:rPr>
          <w:rFonts w:ascii="黑体" w:eastAsia="黑体" w:hAnsi="黑体" w:hint="eastAsia"/>
          <w:b/>
          <w:bCs/>
          <w:sz w:val="20"/>
          <w:szCs w:val="20"/>
        </w:rPr>
        <w:t>（产品名称：</w:t>
      </w:r>
      <w:r>
        <w:rPr>
          <w:rFonts w:ascii="黑体" w:eastAsia="黑体" w:hAnsi="黑体" w:hint="eastAsia"/>
          <w:b/>
          <w:bCs/>
          <w:color w:val="0070C0"/>
          <w:sz w:val="20"/>
          <w:szCs w:val="20"/>
        </w:rPr>
        <w:t>中信理财之月月</w:t>
      </w:r>
      <w:proofErr w:type="gramStart"/>
      <w:r>
        <w:rPr>
          <w:rFonts w:ascii="黑体" w:eastAsia="黑体" w:hAnsi="黑体" w:hint="eastAsia"/>
          <w:b/>
          <w:bCs/>
          <w:color w:val="0070C0"/>
          <w:sz w:val="20"/>
          <w:szCs w:val="20"/>
        </w:rPr>
        <w:t>赢系列</w:t>
      </w:r>
      <w:proofErr w:type="gramEnd"/>
      <w:r>
        <w:rPr>
          <w:rFonts w:ascii="黑体" w:eastAsia="黑体" w:hAnsi="黑体" w:hint="eastAsia"/>
          <w:b/>
          <w:bCs/>
          <w:color w:val="0070C0"/>
          <w:sz w:val="20"/>
          <w:szCs w:val="20"/>
        </w:rPr>
        <w:t>人民币理财产品</w:t>
      </w:r>
      <w:r>
        <w:rPr>
          <w:rFonts w:ascii="黑体" w:eastAsia="黑体" w:hAnsi="黑体" w:hint="eastAsia"/>
          <w:b/>
          <w:bCs/>
          <w:sz w:val="20"/>
          <w:szCs w:val="20"/>
        </w:rPr>
        <w:t xml:space="preserve">    产品编码：</w:t>
      </w:r>
      <w:r>
        <w:rPr>
          <w:rFonts w:ascii="黑体" w:eastAsia="黑体" w:hAnsi="黑体" w:hint="eastAsia"/>
          <w:b/>
          <w:bCs/>
          <w:color w:val="0070C0"/>
          <w:sz w:val="20"/>
          <w:szCs w:val="20"/>
        </w:rPr>
        <w:t>B130A0113</w:t>
      </w:r>
      <w:r>
        <w:rPr>
          <w:rFonts w:ascii="黑体" w:eastAsia="黑体" w:hAnsi="黑体" w:hint="eastAsia"/>
          <w:b/>
          <w:bCs/>
          <w:sz w:val="20"/>
          <w:szCs w:val="20"/>
        </w:rPr>
        <w:t>）</w:t>
      </w:r>
    </w:p>
    <w:p w:rsidR="00C654DA" w:rsidRDefault="00B04975">
      <w:pPr>
        <w:pStyle w:val="p0"/>
        <w:spacing w:line="300" w:lineRule="atLeast"/>
        <w:ind w:right="-693"/>
        <w:rPr>
          <w:rFonts w:ascii="黑体" w:eastAsia="黑体" w:hAnsi="黑体"/>
          <w:b/>
          <w:bCs/>
          <w:sz w:val="20"/>
          <w:szCs w:val="20"/>
        </w:rPr>
      </w:pPr>
      <w:r>
        <w:rPr>
          <w:rFonts w:ascii="黑体" w:eastAsia="黑体" w:hAnsi="黑体" w:hint="eastAsia"/>
          <w:b/>
          <w:bCs/>
          <w:sz w:val="20"/>
          <w:szCs w:val="20"/>
        </w:rPr>
        <w:t xml:space="preserve"> </w:t>
      </w:r>
    </w:p>
    <w:p w:rsidR="00C654DA" w:rsidRDefault="00B04975">
      <w:pPr>
        <w:pStyle w:val="p0"/>
        <w:spacing w:line="300" w:lineRule="atLeast"/>
        <w:ind w:right="-693"/>
        <w:rPr>
          <w:rFonts w:ascii="黑体" w:eastAsia="黑体" w:hAnsi="黑体"/>
          <w:sz w:val="20"/>
          <w:szCs w:val="20"/>
        </w:rPr>
      </w:pPr>
      <w:r>
        <w:rPr>
          <w:rFonts w:ascii="黑体" w:eastAsia="黑体" w:hAnsi="黑体" w:hint="eastAsia"/>
          <w:b/>
          <w:bCs/>
          <w:sz w:val="20"/>
          <w:szCs w:val="20"/>
        </w:rPr>
        <w:t>重要须知</w:t>
      </w:r>
      <w:r>
        <w:rPr>
          <w:rFonts w:ascii="黑体" w:eastAsia="黑体" w:hAnsi="黑体" w:hint="eastAsia"/>
          <w:sz w:val="20"/>
          <w:szCs w:val="20"/>
        </w:rPr>
        <w:t>：</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1、本产品说明书与《中信银行理财产品总协议》、《中信银行理财产品风险揭示书》共同构成完整的不可分割的理财合同。</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2、本理财产品不等同于银行存款。</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3、本理财产品仅向依据中华人民共和国有关法律法规及其他有关规定可以购买本理财产品的合格投资者发售。</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4、本理财产品可向无投资经验的客户销售及有投资经验的客户销售。在购买本理财产品前，请投资者确保完全明白本理财产品的性质、其中涉及的风险以及投资者的自身情况。投资者若对本产品说明书的内容有任何疑问，请向中信银行各营业网点咨询。</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5、除本产品说明书中明确规定的收益及收益分配方式外，任何预期收益、预计收益、测算收益或类似表述均属不具有法律约束力的用语，不代表投资者可能获得的实际收益，亦不构成中信银行对本理财产品的任何收益承诺。投资者所能获得的最终收益以中信银行实际支付的为准，且不超过按照中信银行公布的本产品预期测算</w:t>
      </w:r>
      <w:proofErr w:type="gramStart"/>
      <w:r>
        <w:rPr>
          <w:rFonts w:ascii="黑体" w:eastAsia="黑体" w:hAnsi="黑体" w:hint="eastAsia"/>
          <w:sz w:val="20"/>
          <w:szCs w:val="20"/>
        </w:rPr>
        <w:t>最高年化收益率</w:t>
      </w:r>
      <w:proofErr w:type="gramEnd"/>
      <w:r>
        <w:rPr>
          <w:rFonts w:ascii="黑体" w:eastAsia="黑体" w:hAnsi="黑体" w:hint="eastAsia"/>
          <w:sz w:val="20"/>
          <w:szCs w:val="20"/>
        </w:rPr>
        <w:t>计算得出的收益。</w:t>
      </w:r>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6、本理财产品不</w:t>
      </w:r>
      <w:r>
        <w:rPr>
          <w:rFonts w:ascii="黑体" w:eastAsia="黑体" w:hAnsi="黑体" w:hint="eastAsia"/>
          <w:color w:val="0070C0"/>
          <w:sz w:val="20"/>
          <w:szCs w:val="20"/>
        </w:rPr>
        <w:t>保障</w:t>
      </w:r>
      <w:r>
        <w:rPr>
          <w:rFonts w:ascii="黑体" w:eastAsia="黑体" w:hAnsi="黑体" w:hint="eastAsia"/>
          <w:sz w:val="20"/>
          <w:szCs w:val="20"/>
        </w:rPr>
        <w:t>理财</w:t>
      </w:r>
      <w:r>
        <w:rPr>
          <w:rFonts w:ascii="黑体" w:eastAsia="黑体" w:hAnsi="黑体" w:hint="eastAsia"/>
          <w:color w:val="0070C0"/>
          <w:sz w:val="20"/>
          <w:szCs w:val="20"/>
        </w:rPr>
        <w:t>本金和收益</w:t>
      </w:r>
      <w:r>
        <w:rPr>
          <w:rFonts w:ascii="黑体" w:eastAsia="黑体" w:hAnsi="黑体" w:hint="eastAsia"/>
          <w:sz w:val="20"/>
          <w:szCs w:val="20"/>
        </w:rPr>
        <w:t>，投资者所能获得的最终收益以理财产品最终清算的投资者可得收益为准。产品过往业绩不代表其未来表现，不构成新发理财产品业绩表现的保证。</w:t>
      </w:r>
      <w:bookmarkStart w:id="0" w:name="_GoBack"/>
      <w:bookmarkEnd w:id="0"/>
    </w:p>
    <w:p w:rsidR="00C654DA" w:rsidRDefault="00B04975">
      <w:pPr>
        <w:pStyle w:val="p0"/>
        <w:ind w:right="46" w:firstLine="400"/>
        <w:rPr>
          <w:rFonts w:ascii="黑体" w:eastAsia="黑体" w:hAnsi="黑体"/>
          <w:sz w:val="20"/>
          <w:szCs w:val="20"/>
        </w:rPr>
      </w:pPr>
      <w:r>
        <w:rPr>
          <w:rFonts w:ascii="黑体" w:eastAsia="黑体" w:hAnsi="黑体" w:hint="eastAsia"/>
          <w:sz w:val="20"/>
          <w:szCs w:val="20"/>
        </w:rPr>
        <w:t xml:space="preserve"> </w:t>
      </w:r>
    </w:p>
    <w:p w:rsidR="00C654DA" w:rsidRDefault="00B04975">
      <w:pPr>
        <w:pStyle w:val="p0"/>
        <w:ind w:left="2" w:right="46"/>
        <w:rPr>
          <w:rFonts w:ascii="黑体" w:eastAsia="黑体" w:hAnsi="黑体"/>
          <w:b/>
          <w:bCs/>
          <w:sz w:val="20"/>
          <w:szCs w:val="20"/>
        </w:rPr>
      </w:pPr>
      <w:r>
        <w:rPr>
          <w:rFonts w:ascii="黑体" w:eastAsia="黑体" w:hAnsi="黑体" w:hint="eastAsia"/>
          <w:b/>
          <w:bCs/>
          <w:sz w:val="20"/>
          <w:szCs w:val="20"/>
        </w:rPr>
        <w:t>风险提示：</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本理财产品不保证本金和收益，根据本产品风险分级，投资者的本金有可能蒙受损失，极端情况下，可能全部或部分受损。投资者应充分认识投资风险，充分认识测算收益不等于实际收益，谨慎投资。具体风险如下：</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1、信用风险：本产品收益来源于产品项下投资工具的回报。如果投资资产中的投资工具发生违约事件，使得产品到期时所投资工具的出售收入或投资收入等可能不足以支付投资者收益，投资者本金与收益将可能受到损失；在此情况下，投资者收益将根据基于其偿还比率测算出的投资资产价格予以确定，同时，产品将保留向发生违约事件的发行主体或借款主体的追索权利，若这些权利在未来得以实现，在扣除相关费用后，将继续向投资者进行清偿。</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2、市场风险：由于金融市场存在波动性，投资者投资本产品将承担一定投资资产市值下跌的市场风险。如果人民币市场利率上升，该产品的收益率不随市场利率上升而提高，投资者将承担该产品资产配置的机会成本。</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3、流动性风险：本理财产品如出现本产品说明中所约定的巨额赎回情况，有可能导致投资者需要资金而不能及时赎回。</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4、提前终止风险：如发生提前终止条款约定情形，可能导致理财产品提前终止。</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5、政策风险：本理财产品是根据当前的相关法律法规和政策设计的，如国家政策以及相关法律法规等发生变化，可能影响本理财产品的投资、偿还等环节的正常进行，从而可能对本理财产品造成重大影响，例如可能导致理财产品收益降低或全部损失，甚至导致本金部分或全部损失。</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6、信息传递风险：投资者应根据本产品说明载明的信息披露方式及时查询相关信息。中信银行按照本产品说明有关信息披露条款的约定，发布理财产品的信息公告，投资者应根据信息披露条款的约定及时与客户经理联系，或到中信银行网站（http:// bank.ecitic.com/）、营业网点查询，以获知有关本理财产品相关信息。</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lastRenderedPageBreak/>
        <w:t>7、延期清算风险：若在产品到期时，债券发行人或融资主体延期付款或其它原因导致货币资金余额不足支付本理财产品本金和收益，则产品存在延期清算的风险。</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 xml:space="preserve">8、不可抗力风险：指由于自然灾害、战争等不可抗力因素的出现，将严重影响金融市场的正常运行，从而导致理财产品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9、最不利的投资情形：本产品为非保本浮动收益类产品，由于市场波动导致投资工具贬值或者投资</w:t>
      </w:r>
      <w:proofErr w:type="gramStart"/>
      <w:r>
        <w:rPr>
          <w:rFonts w:ascii="黑体" w:eastAsia="黑体" w:hAnsi="黑体" w:hint="eastAsia"/>
          <w:sz w:val="20"/>
          <w:szCs w:val="20"/>
        </w:rPr>
        <w:t>品发生</w:t>
      </w:r>
      <w:proofErr w:type="gramEnd"/>
      <w:r>
        <w:rPr>
          <w:rFonts w:ascii="黑体" w:eastAsia="黑体" w:hAnsi="黑体" w:hint="eastAsia"/>
          <w:sz w:val="20"/>
          <w:szCs w:val="20"/>
        </w:rPr>
        <w:t xml:space="preserve">信用风险导致相应损失，则有可能造成本产品本金及收益部分或全部损失。 </w:t>
      </w:r>
    </w:p>
    <w:p w:rsidR="00C654DA" w:rsidRDefault="00B04975">
      <w:pPr>
        <w:pStyle w:val="p0"/>
        <w:ind w:left="-2" w:right="46" w:firstLine="400"/>
        <w:rPr>
          <w:rFonts w:ascii="黑体" w:eastAsia="黑体" w:hAnsi="黑体"/>
          <w:sz w:val="20"/>
          <w:szCs w:val="20"/>
        </w:rPr>
      </w:pPr>
      <w:r>
        <w:rPr>
          <w:rFonts w:ascii="黑体" w:eastAsia="黑体" w:hAnsi="黑体" w:hint="eastAsia"/>
          <w:sz w:val="20"/>
          <w:szCs w:val="20"/>
        </w:rPr>
        <w:t xml:space="preserve"> </w:t>
      </w:r>
    </w:p>
    <w:p w:rsidR="00C654DA" w:rsidRDefault="00B04975">
      <w:pPr>
        <w:pStyle w:val="p0"/>
        <w:ind w:left="433" w:right="46" w:hanging="435"/>
        <w:rPr>
          <w:rFonts w:ascii="黑体" w:eastAsia="黑体" w:hAnsi="黑体"/>
          <w:sz w:val="20"/>
          <w:szCs w:val="20"/>
        </w:rPr>
      </w:pPr>
      <w:r>
        <w:rPr>
          <w:rFonts w:ascii="黑体" w:eastAsia="黑体" w:hAnsi="黑体" w:hint="eastAsia"/>
          <w:sz w:val="20"/>
          <w:szCs w:val="20"/>
        </w:rPr>
        <w:t>一、 产品投资对象</w:t>
      </w:r>
    </w:p>
    <w:p w:rsidR="00C654DA" w:rsidRDefault="00B04975">
      <w:pPr>
        <w:pStyle w:val="p0"/>
        <w:spacing w:line="300" w:lineRule="atLeast"/>
        <w:ind w:right="42"/>
        <w:rPr>
          <w:rFonts w:ascii="楷体_GB2312" w:eastAsia="楷体_GB2312"/>
          <w:sz w:val="20"/>
          <w:szCs w:val="20"/>
        </w:rPr>
      </w:pPr>
      <w:r>
        <w:rPr>
          <w:rFonts w:ascii="楷体_GB2312" w:eastAsia="楷体_GB2312" w:hint="eastAsia"/>
          <w:sz w:val="20"/>
          <w:szCs w:val="20"/>
        </w:rPr>
        <w:t>1、本理财计划存续期间，全额投资于债券及货币市场工具等。具体品种包括：现金、拆借/同业存款/回购等货币市场工具、国债、金融债、央行票据、企业债、公司债、中期票据、短期融资</w:t>
      </w:r>
      <w:proofErr w:type="gramStart"/>
      <w:r>
        <w:rPr>
          <w:rFonts w:ascii="楷体_GB2312" w:eastAsia="楷体_GB2312" w:hint="eastAsia"/>
          <w:sz w:val="20"/>
          <w:szCs w:val="20"/>
        </w:rPr>
        <w:t>券</w:t>
      </w:r>
      <w:proofErr w:type="gramEnd"/>
      <w:r>
        <w:rPr>
          <w:rFonts w:ascii="楷体_GB2312" w:eastAsia="楷体_GB2312" w:hint="eastAsia"/>
          <w:sz w:val="20"/>
          <w:szCs w:val="20"/>
        </w:rPr>
        <w:t>、超短期融资</w:t>
      </w:r>
      <w:proofErr w:type="gramStart"/>
      <w:r>
        <w:rPr>
          <w:rFonts w:ascii="楷体_GB2312" w:eastAsia="楷体_GB2312" w:hint="eastAsia"/>
          <w:sz w:val="20"/>
          <w:szCs w:val="20"/>
        </w:rPr>
        <w:t>券</w:t>
      </w:r>
      <w:proofErr w:type="gramEnd"/>
      <w:r>
        <w:rPr>
          <w:rFonts w:ascii="楷体_GB2312" w:eastAsia="楷体_GB2312" w:hint="eastAsia"/>
          <w:sz w:val="20"/>
          <w:szCs w:val="20"/>
        </w:rPr>
        <w:t>、非公开定向债务融资工具（PPN）、人民币利率掉期等。</w:t>
      </w:r>
    </w:p>
    <w:p w:rsidR="00C654DA" w:rsidRDefault="00B04975">
      <w:pPr>
        <w:pStyle w:val="p0"/>
        <w:spacing w:line="300" w:lineRule="atLeast"/>
        <w:ind w:right="42"/>
        <w:rPr>
          <w:rFonts w:ascii="楷体_GB2312" w:eastAsia="楷体_GB2312"/>
          <w:sz w:val="20"/>
          <w:szCs w:val="20"/>
        </w:rPr>
      </w:pPr>
      <w:r>
        <w:rPr>
          <w:rFonts w:ascii="楷体_GB2312" w:eastAsia="楷体_GB2312" w:hint="eastAsia"/>
          <w:sz w:val="20"/>
          <w:szCs w:val="20"/>
        </w:rPr>
        <w:t>本产品如因市场变化等因素，投资比例可在不影响客户预计收益的前提下合理浮动。</w:t>
      </w:r>
    </w:p>
    <w:p w:rsidR="00C654DA" w:rsidRDefault="00B04975">
      <w:pPr>
        <w:pStyle w:val="p0"/>
        <w:spacing w:line="300" w:lineRule="atLeast"/>
        <w:ind w:right="42"/>
        <w:rPr>
          <w:rFonts w:ascii="楷体_GB2312" w:eastAsia="楷体_GB2312"/>
          <w:sz w:val="20"/>
          <w:szCs w:val="20"/>
        </w:rPr>
      </w:pPr>
      <w:r>
        <w:rPr>
          <w:rFonts w:ascii="楷体_GB2312" w:eastAsia="楷体_GB2312" w:hint="eastAsia"/>
          <w:sz w:val="20"/>
          <w:szCs w:val="20"/>
        </w:rPr>
        <w:t>2、本产品可对投资项下债券类资产进行正回购或拆借融资，再将融资资金投资于债券及货币市场工具，力争在投资收益高于融资成本的市场环境下，提高理财产品的绝对投资收益水平，投资资产规模（不含现金）不超过理财产品募集资金规模的1.7倍。</w:t>
      </w:r>
    </w:p>
    <w:p w:rsidR="00C654DA" w:rsidRDefault="00B04975">
      <w:pPr>
        <w:pStyle w:val="p0"/>
        <w:spacing w:line="300" w:lineRule="atLeast"/>
        <w:ind w:right="42"/>
        <w:rPr>
          <w:rFonts w:ascii="楷体_GB2312" w:eastAsia="楷体_GB2312"/>
          <w:sz w:val="20"/>
          <w:szCs w:val="20"/>
        </w:rPr>
      </w:pPr>
      <w:r>
        <w:rPr>
          <w:rFonts w:ascii="楷体_GB2312" w:eastAsia="楷体_GB2312" w:hint="eastAsia"/>
          <w:sz w:val="20"/>
          <w:szCs w:val="20"/>
        </w:rPr>
        <w:t>3、本产品的上述投资范围将有可能随国家法律法规及监管政策的变化而进行调整，或中信银行基于勤勉尽职从投资者利益出发，对投资范围进行调整。在本产品存续期间，如变更投资范围、投资品种或投资比例，产品管理人有权提前3个工作日通过中信银行网站（http://bank.ecitic.com/）、网点等渠道进行公告发布相关变更信息后进行变更。投资者不接受的，可按照相关约定在变更生效前赎回理财产品。投资者未在变更生效前向中信银行提出赎回申请的，视为同意接受变更后条款，中信银行有权按照变更后的约定内容进行操作。</w:t>
      </w:r>
    </w:p>
    <w:p w:rsidR="00C654DA" w:rsidRDefault="00B04975">
      <w:pPr>
        <w:pStyle w:val="p0"/>
        <w:ind w:left="2" w:right="46"/>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433" w:right="46" w:hanging="435"/>
        <w:rPr>
          <w:rFonts w:ascii="黑体" w:eastAsia="黑体" w:hAnsi="黑体"/>
          <w:sz w:val="20"/>
          <w:szCs w:val="20"/>
        </w:rPr>
      </w:pPr>
      <w:r>
        <w:rPr>
          <w:rFonts w:ascii="黑体" w:eastAsia="黑体" w:hAnsi="黑体" w:hint="eastAsia"/>
          <w:sz w:val="20"/>
          <w:szCs w:val="20"/>
        </w:rPr>
        <w:t>二、 产品基本要素</w:t>
      </w:r>
    </w:p>
    <w:tbl>
      <w:tblPr>
        <w:tblW w:w="8745" w:type="dxa"/>
        <w:tblLayout w:type="fixed"/>
        <w:tblLook w:val="04A0" w:firstRow="1" w:lastRow="0" w:firstColumn="1" w:lastColumn="0" w:noHBand="0" w:noVBand="1"/>
      </w:tblPr>
      <w:tblGrid>
        <w:gridCol w:w="1526"/>
        <w:gridCol w:w="7219"/>
      </w:tblGrid>
      <w:tr w:rsidR="00C654DA">
        <w:trPr>
          <w:trHeight w:val="285"/>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产品名称</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中信理财之月月赢理财产品</w:t>
            </w:r>
          </w:p>
        </w:tc>
      </w:tr>
      <w:tr w:rsidR="00C654DA">
        <w:trPr>
          <w:trHeight w:val="28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产品编码</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B130A0113</w:t>
            </w:r>
          </w:p>
        </w:tc>
      </w:tr>
      <w:tr w:rsidR="00C654DA">
        <w:trPr>
          <w:trHeight w:val="28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产品类型</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非保本浮动收益型，开放型</w:t>
            </w:r>
          </w:p>
        </w:tc>
      </w:tr>
      <w:tr w:rsidR="00C654DA">
        <w:trPr>
          <w:trHeight w:val="510"/>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中信理财产品风险分级</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PR2级（稳健型，黄色）。</w:t>
            </w:r>
            <w:proofErr w:type="gramStart"/>
            <w:r>
              <w:rPr>
                <w:rFonts w:ascii="楷体_GB2312" w:eastAsia="楷体_GB2312" w:hint="eastAsia"/>
                <w:sz w:val="20"/>
                <w:szCs w:val="20"/>
              </w:rPr>
              <w:t>本风险</w:t>
            </w:r>
            <w:proofErr w:type="gramEnd"/>
            <w:r>
              <w:rPr>
                <w:rFonts w:ascii="楷体_GB2312" w:eastAsia="楷体_GB2312" w:hint="eastAsia"/>
                <w:sz w:val="20"/>
                <w:szCs w:val="20"/>
              </w:rPr>
              <w:t>分级为中信银行自行评定，仅供参考，中信银行并不对前述风险分级结果的准确性做出任何形式的保证</w:t>
            </w:r>
          </w:p>
        </w:tc>
      </w:tr>
      <w:tr w:rsidR="00C654DA">
        <w:trPr>
          <w:trHeight w:val="453"/>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产品期限</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本理财产品无名义存续期限(受提前终止条款约束)</w:t>
            </w:r>
          </w:p>
        </w:tc>
      </w:tr>
      <w:tr w:rsidR="00C654DA">
        <w:trPr>
          <w:trHeight w:val="632"/>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产品规模</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产品规模上限为50亿元人民币，下限为1000万元人民币。中信银行可根据市场和产品运行情况调整规模上下限。</w:t>
            </w:r>
          </w:p>
        </w:tc>
      </w:tr>
      <w:tr w:rsidR="00C654DA">
        <w:trPr>
          <w:trHeight w:val="622"/>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币种及认、申购起点</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本产品的投资与收益币种均为人民币，初始认、申购金额不低于人民币5万元，以人民币1万元的整数倍增加（投资者与中信银行在此约定，对单笔申购或申购金额为人民币1亿元（含）以上的，中信银行在划款时无需以电话等方式与投资者进行最后确认）。</w:t>
            </w:r>
          </w:p>
        </w:tc>
      </w:tr>
      <w:tr w:rsidR="00C654DA">
        <w:trPr>
          <w:trHeight w:val="332"/>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份额单位</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份</w:t>
            </w:r>
          </w:p>
        </w:tc>
      </w:tr>
      <w:tr w:rsidR="00C654DA">
        <w:trPr>
          <w:trHeight w:val="29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产品单位净值</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1元/份（如遇理财产品投资的标的发生违约风险时，产品单位净值有可能低于1）</w:t>
            </w:r>
          </w:p>
        </w:tc>
      </w:tr>
      <w:tr w:rsidR="00C654DA">
        <w:trPr>
          <w:trHeight w:val="29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测算收益率</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根据目前本产品拟投资产品的收益水平，通过综合测算，产品投资者可获得的测算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4.15%/年。</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lastRenderedPageBreak/>
              <w:t>上述测算收益不等于实际收益，投资须谨慎。如果本理财计划投资资产市值下跌或投资工具发生信用风险，则实际收益率将可能低于测算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，甚至造成本金或收益的全部损失。</w:t>
            </w:r>
          </w:p>
        </w:tc>
      </w:tr>
      <w:tr w:rsidR="00C654DA">
        <w:trPr>
          <w:trHeight w:val="28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lastRenderedPageBreak/>
              <w:t>募集期</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2013年6月22日至2013年7月9日</w:t>
            </w:r>
          </w:p>
        </w:tc>
      </w:tr>
      <w:tr w:rsidR="00C654DA">
        <w:trPr>
          <w:trHeight w:val="28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募集期认购资金收益起计日</w:t>
            </w:r>
          </w:p>
        </w:tc>
        <w:tc>
          <w:tcPr>
            <w:tcW w:w="7222" w:type="dxa"/>
            <w:tcBorders>
              <w:top w:val="single" w:sz="4" w:space="0" w:color="000000"/>
              <w:left w:val="nil"/>
              <w:bottom w:val="nil"/>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2013年7月10日</w:t>
            </w:r>
          </w:p>
        </w:tc>
      </w:tr>
      <w:tr w:rsidR="00C654DA">
        <w:trPr>
          <w:trHeight w:val="391"/>
        </w:trPr>
        <w:tc>
          <w:tcPr>
            <w:tcW w:w="1526" w:type="dxa"/>
            <w:tcBorders>
              <w:top w:val="single" w:sz="4" w:space="0" w:color="000000"/>
              <w:left w:val="single" w:sz="4" w:space="0" w:color="000000"/>
              <w:bottom w:val="nil"/>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开放日及认、申购和赎回</w:t>
            </w:r>
          </w:p>
        </w:tc>
        <w:tc>
          <w:tcPr>
            <w:tcW w:w="7222" w:type="dxa"/>
            <w:tcBorders>
              <w:top w:val="single" w:sz="4" w:space="0" w:color="000000"/>
              <w:left w:val="nil"/>
              <w:bottom w:val="nil"/>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1、自2013年7月10日起每月的10号为开放日（如</w:t>
            </w:r>
            <w:proofErr w:type="gramStart"/>
            <w:r>
              <w:rPr>
                <w:rFonts w:ascii="楷体_GB2312" w:eastAsia="楷体_GB2312" w:hint="eastAsia"/>
                <w:sz w:val="20"/>
                <w:szCs w:val="20"/>
              </w:rPr>
              <w:t>遇中国</w:t>
            </w:r>
            <w:proofErr w:type="gramEnd"/>
            <w:r>
              <w:rPr>
                <w:rFonts w:ascii="楷体_GB2312" w:eastAsia="楷体_GB2312" w:hint="eastAsia"/>
                <w:sz w:val="20"/>
                <w:szCs w:val="20"/>
              </w:rPr>
              <w:t>法定节假日则自动顺延至下一工作日），其中第一个开放日为2013年8月12日。</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2、开放日之前5个自然日（含）到开放日（含）为预约申购期和预约赎回期，预约申购份额的收益起计日和预约赎回份额的收益截止日均为当期开放日。</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3、如因产品实际投资运作需要等因素，银行有权增加或调整产品开放日，并最迟于增加或调整生效前10个工作日在中信银行网站等渠道进行公告。 </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4、详细内容见“理财产品的认、申购”和“理财产品的赎回”</w:t>
            </w:r>
          </w:p>
        </w:tc>
      </w:tr>
      <w:tr w:rsidR="00C654DA">
        <w:trPr>
          <w:trHeight w:val="285"/>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投资周期</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从本产品的募集期收益起计日或开放日（含）至下一个开放日（不含）期间为本产品的一个投资周期。</w:t>
            </w:r>
          </w:p>
        </w:tc>
      </w:tr>
      <w:tr w:rsidR="00C654DA">
        <w:trPr>
          <w:trHeight w:val="285"/>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理财本金及收益返还</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详细内容见“理财产品的赎回”、“理财产品的收益”</w:t>
            </w:r>
          </w:p>
        </w:tc>
      </w:tr>
      <w:tr w:rsidR="00C654DA">
        <w:trPr>
          <w:trHeight w:val="285"/>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提前终止</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中信银行对本理财产品有可能提前终止，详细内容见“产品的提前终止”</w:t>
            </w:r>
          </w:p>
        </w:tc>
      </w:tr>
      <w:tr w:rsidR="00C654DA">
        <w:trPr>
          <w:trHeight w:val="285"/>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计息基数</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365</w:t>
            </w:r>
          </w:p>
        </w:tc>
      </w:tr>
      <w:tr w:rsidR="00C654DA">
        <w:trPr>
          <w:trHeight w:val="1831"/>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理财产品费用</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1、本理财产品无申购费用、认购费用和赎回费用。</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2、本理财产品收取的固定费用为产品销售服务费0.50%/年，托管费0.05%/年，</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按日根据产品规模提取。</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3、本产品所投资工具所获收益扣除销售服务费、托管费等相关固定费用后，超过本理财产品测算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以上部分为产品管理人投资管理费。</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4、以上费用，按产品募集资金总额为基数，按上述费率标准计付。</w:t>
            </w:r>
          </w:p>
        </w:tc>
      </w:tr>
      <w:tr w:rsidR="00C654DA">
        <w:trPr>
          <w:trHeight w:val="442"/>
        </w:trPr>
        <w:tc>
          <w:tcPr>
            <w:tcW w:w="1526" w:type="dxa"/>
            <w:tcBorders>
              <w:top w:val="nil"/>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购买渠道</w:t>
            </w:r>
          </w:p>
        </w:tc>
        <w:tc>
          <w:tcPr>
            <w:tcW w:w="7222" w:type="dxa"/>
            <w:tcBorders>
              <w:top w:val="nil"/>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投资者可通过中信银行指定柜台、网上银行等渠道购买本理财产品</w:t>
            </w:r>
          </w:p>
        </w:tc>
      </w:tr>
      <w:tr w:rsidR="00C654DA">
        <w:trPr>
          <w:trHeight w:val="419"/>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工作日</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指我国法定工作日，除中国法定节假日、周六、周日、公休日等之外的日期</w:t>
            </w:r>
          </w:p>
        </w:tc>
      </w:tr>
      <w:tr w:rsidR="00C654DA">
        <w:trPr>
          <w:trHeight w:val="408"/>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税收条款</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理财收益的应缴税款由投资者自行缴纳，中信银行不承担代扣代缴义务。</w:t>
            </w:r>
          </w:p>
        </w:tc>
      </w:tr>
      <w:tr w:rsidR="00C654DA">
        <w:trPr>
          <w:trHeight w:val="413"/>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质押条款</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依据中信银行相关理财产品质</w:t>
            </w:r>
            <w:proofErr w:type="gramStart"/>
            <w:r>
              <w:rPr>
                <w:rFonts w:ascii="楷体_GB2312" w:eastAsia="楷体_GB2312" w:hint="eastAsia"/>
                <w:sz w:val="20"/>
                <w:szCs w:val="20"/>
              </w:rPr>
              <w:t>押</w:t>
            </w:r>
            <w:proofErr w:type="gramEnd"/>
            <w:r>
              <w:rPr>
                <w:rFonts w:ascii="楷体_GB2312" w:eastAsia="楷体_GB2312" w:hint="eastAsia"/>
                <w:sz w:val="20"/>
                <w:szCs w:val="20"/>
              </w:rPr>
              <w:t>管理办法执行。</w:t>
            </w:r>
          </w:p>
        </w:tc>
      </w:tr>
      <w:tr w:rsidR="00C654DA">
        <w:trPr>
          <w:trHeight w:val="417"/>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托管人</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中信银行</w:t>
            </w:r>
          </w:p>
        </w:tc>
      </w:tr>
      <w:tr w:rsidR="00C654DA">
        <w:trPr>
          <w:trHeight w:val="281"/>
        </w:trPr>
        <w:tc>
          <w:tcPr>
            <w:tcW w:w="1526" w:type="dxa"/>
            <w:tcBorders>
              <w:top w:val="single" w:sz="4" w:space="0" w:color="000000"/>
              <w:left w:val="single" w:sz="4" w:space="0" w:color="000000"/>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信息披露方式</w:t>
            </w:r>
          </w:p>
        </w:tc>
        <w:tc>
          <w:tcPr>
            <w:tcW w:w="7222" w:type="dxa"/>
            <w:tcBorders>
              <w:top w:val="single" w:sz="4" w:space="0" w:color="000000"/>
              <w:left w:val="nil"/>
              <w:bottom w:val="single" w:sz="4" w:space="0" w:color="000000"/>
              <w:right w:val="single" w:sz="4" w:space="0" w:color="000000"/>
            </w:tcBorders>
            <w:vAlign w:val="center"/>
            <w:hideMark/>
          </w:tcPr>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1、中信银行在相关网站（</w:t>
            </w:r>
            <w:hyperlink r:id="rId7" w:history="1">
              <w:r>
                <w:rPr>
                  <w:rStyle w:val="a3"/>
                </w:rPr>
                <w:t>http://www.ecitic.com/</w:t>
              </w:r>
            </w:hyperlink>
            <w:r>
              <w:rPr>
                <w:rFonts w:hint="eastAsia"/>
              </w:rPr>
              <w:t>）发布本理财产品</w:t>
            </w:r>
            <w:proofErr w:type="gramStart"/>
            <w:r>
              <w:rPr>
                <w:rFonts w:hint="eastAsia"/>
              </w:rPr>
              <w:t>年化测算</w:t>
            </w:r>
            <w:proofErr w:type="gramEnd"/>
            <w:r>
              <w:rPr>
                <w:rFonts w:hint="eastAsia"/>
              </w:rPr>
              <w:t>收益率（</w:t>
            </w:r>
            <w:proofErr w:type="gramStart"/>
            <w:r>
              <w:rPr>
                <w:rFonts w:hint="eastAsia"/>
              </w:rPr>
              <w:t>年化测算</w:t>
            </w:r>
            <w:proofErr w:type="gramEnd"/>
            <w:r>
              <w:rPr>
                <w:rFonts w:hint="eastAsia"/>
              </w:rPr>
              <w:t>收益率保留</w:t>
            </w:r>
            <w:r>
              <w:t>2</w:t>
            </w:r>
            <w:r>
              <w:rPr>
                <w:rFonts w:hint="eastAsia"/>
              </w:rPr>
              <w:t>位小数点）。投资者可通过中信银行相关网站</w:t>
            </w:r>
            <w:r>
              <w:rPr>
                <w:rFonts w:ascii="楷体_GB2312" w:eastAsia="楷体_GB2312" w:hint="eastAsia"/>
                <w:sz w:val="20"/>
                <w:szCs w:val="20"/>
              </w:rPr>
              <w:t>（</w:t>
            </w:r>
            <w:hyperlink r:id="rId8" w:history="1">
              <w:r>
                <w:rPr>
                  <w:rStyle w:val="a3"/>
                </w:rPr>
                <w:t>http://bank.ecitic.com/personal/</w:t>
              </w:r>
            </w:hyperlink>
            <w:r>
              <w:rPr>
                <w:rFonts w:hint="eastAsia"/>
              </w:rPr>
              <w:t>）</w:t>
            </w:r>
            <w:r>
              <w:rPr>
                <w:rFonts w:ascii="楷体_GB2312" w:eastAsia="楷体_GB2312" w:hint="eastAsia"/>
                <w:sz w:val="20"/>
                <w:szCs w:val="20"/>
              </w:rPr>
              <w:t>查询理财产品历史</w:t>
            </w:r>
            <w:proofErr w:type="gramStart"/>
            <w:r>
              <w:rPr>
                <w:rFonts w:ascii="楷体_GB2312" w:eastAsia="楷体_GB2312" w:hint="eastAsia"/>
                <w:sz w:val="20"/>
                <w:szCs w:val="20"/>
              </w:rPr>
              <w:t>年化测算</w:t>
            </w:r>
            <w:proofErr w:type="gramEnd"/>
            <w:r>
              <w:rPr>
                <w:rFonts w:ascii="楷体_GB2312" w:eastAsia="楷体_GB2312" w:hint="eastAsia"/>
                <w:sz w:val="20"/>
                <w:szCs w:val="20"/>
              </w:rPr>
              <w:t>收益率。</w:t>
            </w:r>
            <w:r>
              <w:rPr>
                <w:rFonts w:ascii="楷体_GB2312" w:eastAsia="楷体_GB2312" w:hint="eastAsia"/>
                <w:sz w:val="20"/>
                <w:szCs w:val="20"/>
              </w:rPr>
              <w:br/>
              <w:t>2、如中信银行决定提前终止本理财产品，将于终止日后2个工作日内，在中信银行网站、网点等渠道发布相关信息公告。</w:t>
            </w:r>
            <w:r>
              <w:rPr>
                <w:rFonts w:ascii="楷体_GB2312" w:eastAsia="楷体_GB2312" w:hint="eastAsia"/>
                <w:sz w:val="20"/>
                <w:szCs w:val="20"/>
              </w:rPr>
              <w:br/>
              <w:t>3、如理财产品需延期支付，将于理财产品延期之日后1个工作日内，在中信银行网站、网点等渠道发布相关信息公告。</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本理财产品持续期间内，中信银行有权通过中信银行网站、短信、电话等信息平台、渠道发布公告的形式，对说明书条款进行补充、说明和修改，客户不接受的，可按照相关约定在补充或修改生效前赎回理财产品。投资者未在变更生效前向中信银行提出赎回申请的，视为同意接受变更后条款，中信银行有权按照变更后的约定内容进行操作。中信银行网站是中信银行正式信息发布渠道，其他渠道为辅助方式，投资者应定期通过包括中信银行网站在内的各信息</w:t>
            </w:r>
            <w:r>
              <w:rPr>
                <w:rFonts w:ascii="楷体_GB2312" w:eastAsia="楷体_GB2312" w:hint="eastAsia"/>
                <w:sz w:val="20"/>
                <w:szCs w:val="20"/>
              </w:rPr>
              <w:lastRenderedPageBreak/>
              <w:t>平台和渠道获知有关本理财产品相关信息。</w:t>
            </w:r>
          </w:p>
        </w:tc>
      </w:tr>
    </w:tbl>
    <w:p w:rsidR="00C654DA" w:rsidRDefault="00B04975">
      <w:pPr>
        <w:pStyle w:val="p0"/>
        <w:ind w:right="-693"/>
        <w:rPr>
          <w:b/>
          <w:bCs/>
          <w:sz w:val="20"/>
          <w:szCs w:val="20"/>
        </w:rPr>
      </w:pPr>
      <w:r>
        <w:rPr>
          <w:b/>
          <w:bCs/>
          <w:sz w:val="20"/>
          <w:szCs w:val="20"/>
        </w:rPr>
        <w:lastRenderedPageBreak/>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三、投资团队</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本理财产品的投资管理人为中信银行。中信银行接受客户的委托和授权，按照本产品说明书约定的投资方向和方式进行投资和资产管理，代表客户签订投资和资产管理过程中涉及到的协议、合同等文本。</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四、理财产品的认、申购</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1、本产品按金额认、申购，按单位净值（正常情况下单位净值为1元/份）计算份额。</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认、申购份额＝认、申购金额/产品单位净值（认、申购份数按照四舍五入方法计算，保留小数点后两位，由此误差产生的损失由理财财产承担，产生的收益归理财财产所有）</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例如，某工作日投资者以5万元本金申购理财产品，则投资者获得的申购份额=50000/1=50000.00份。</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2、投资者可在产品成立后的预约申购期进行预约申购。</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在本产品成立后，当期预约申购的截止时间为开放日北京时间15：30（以银行后台系统受理申请时间为准）。投资者可通过银行柜台等渠道进行预约申购交易。在开放日北京时间15：30（以银行后台系统受理申请时间为准）之后无法进行当期预约申购操作。</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4、在产品成立后，如投资者认、申购本理财产品，则投资者可在开放日后1个工作日查询认、申购成功的本理财产品份额。</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5、投资者首次认、申购的起点金额为5万元，追加投资时，增加额度按照1万元的整数</w:t>
      </w:r>
      <w:proofErr w:type="gramStart"/>
      <w:r>
        <w:rPr>
          <w:rFonts w:ascii="楷体_GB2312" w:eastAsia="楷体_GB2312" w:hint="eastAsia"/>
          <w:sz w:val="20"/>
          <w:szCs w:val="20"/>
        </w:rPr>
        <w:t>倍</w:t>
      </w:r>
      <w:proofErr w:type="gramEnd"/>
      <w:r>
        <w:rPr>
          <w:rFonts w:ascii="楷体_GB2312" w:eastAsia="楷体_GB2312" w:hint="eastAsia"/>
          <w:sz w:val="20"/>
          <w:szCs w:val="20"/>
        </w:rPr>
        <w:t>递增。</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6、中信银行保留不接受认、申购申请的权利。</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楷体_GB2312" w:eastAsia="楷体_GB2312" w:hint="eastAsia"/>
          <w:sz w:val="20"/>
          <w:szCs w:val="20"/>
        </w:rPr>
        <w:tab/>
      </w:r>
      <w:r>
        <w:rPr>
          <w:rFonts w:ascii="黑体" w:eastAsia="黑体" w:hAnsi="黑体" w:hint="eastAsia"/>
          <w:sz w:val="20"/>
          <w:szCs w:val="20"/>
        </w:rPr>
        <w:t>五、理财产品的赎回</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1、本理财产品按份额赎回，赎回份额为1000份的整数</w:t>
      </w:r>
      <w:proofErr w:type="gramStart"/>
      <w:r>
        <w:rPr>
          <w:rFonts w:ascii="楷体_GB2312" w:eastAsia="楷体_GB2312" w:hint="eastAsia"/>
          <w:sz w:val="20"/>
          <w:szCs w:val="20"/>
        </w:rPr>
        <w:t>倍</w:t>
      </w:r>
      <w:proofErr w:type="gramEnd"/>
      <w:r>
        <w:rPr>
          <w:rFonts w:ascii="楷体_GB2312" w:eastAsia="楷体_GB2312" w:hint="eastAsia"/>
          <w:sz w:val="20"/>
          <w:szCs w:val="20"/>
        </w:rPr>
        <w:t>。</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2、投资者可在产品成立后的预约赎回期进行预约赎回。</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在本产品成立后，当期预约赎回的截止时间为开放日北京时间15：30（以银行后台系统受理申请时间为准）。投资者可通过银行柜台等渠道进行预约赎回交易。在开放日北京时间15：30（以银行后台系统受理申请时间为准）之后无法进行当期预约赎回操作。</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4、若投资者全额或部分赎回，赎回的本金和收益均在开放日后1个工作日（含）前到账，投资者每次赎回本金=赎回份额×单位净值（正常情况下单位净值为1元/份）</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5、投资者提出部分赎回，如赎回后投资者持有份额不足50000份，则投资者需进行全部赎回。</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6、当期预约认、申购期内的认、申购申请投资者不能再提出预约赎回申请。</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7、中信银行保留不接受预约赎回方式申请的权利。</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六、理财产品的收益（测算收益不等于实际收益，投资需谨慎）</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1、中信银行将根据本理财产品投资运作情况不定期调整测算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，并至少于调整后的测算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启用前一个工作日公布。当投资者赎回时，采取“先进先出”原则，即优先赎回最先申购的份额，并按照其赎回份额的实际存续天数及存续期间每日实际启用的测算收益率计算和支付产品收益。扣除相关固定费用后，理财资金运作超过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的部分作为中信银行投资管理费。</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实际存续天数：自投资者申购份额收益起计日（含当日）起至赎回份额的收益截止日（不含当日）止期间的天数；如投资者在募集期内认购本产品份额，则该份额的实际存续天数自募集期认购收益起计日（含当日）起开始计算。 </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lastRenderedPageBreak/>
        <w:t>2、投资者持有理财产品每日应得的收益=当日理财产品</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（非工作日使用上一工作日理财产品</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）×当日理财产品持有份额/365（金额保留小数点后两位，其余尾数四舍五入）</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理财产品每个投资周期期间的应计收益=∑自上一开放日至本次开放日期间投资者持有本理财产品份额每日应得的收益。收益</w:t>
      </w:r>
      <w:proofErr w:type="gramStart"/>
      <w:r>
        <w:rPr>
          <w:rFonts w:ascii="楷体_GB2312" w:eastAsia="楷体_GB2312" w:hint="eastAsia"/>
          <w:sz w:val="20"/>
          <w:szCs w:val="20"/>
        </w:rPr>
        <w:t>计算计头不计</w:t>
      </w:r>
      <w:proofErr w:type="gramEnd"/>
      <w:r>
        <w:rPr>
          <w:rFonts w:ascii="楷体_GB2312" w:eastAsia="楷体_GB2312" w:hint="eastAsia"/>
          <w:sz w:val="20"/>
          <w:szCs w:val="20"/>
        </w:rPr>
        <w:t>尾。</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3、举例说明：</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情况</w:t>
      </w:r>
      <w:proofErr w:type="gramStart"/>
      <w:r>
        <w:rPr>
          <w:rFonts w:ascii="楷体_GB2312" w:eastAsia="楷体_GB2312" w:hint="eastAsia"/>
          <w:sz w:val="20"/>
          <w:szCs w:val="20"/>
        </w:rPr>
        <w:t>一</w:t>
      </w:r>
      <w:proofErr w:type="gramEnd"/>
      <w:r>
        <w:rPr>
          <w:rFonts w:ascii="楷体_GB2312" w:eastAsia="楷体_GB2312" w:hint="eastAsia"/>
          <w:sz w:val="20"/>
          <w:szCs w:val="20"/>
        </w:rPr>
        <w:t>：假设投资者持有100,000份，持有时间从2013年8月12日至2013年10月10日，期间每日</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为4.2%，计息天数59天，投资者在当期应计收益=100000×4.2%×59/365=678.90元。</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情况二：投资者持有100,000份，持有时间从2013年8月12日至2013年12月10日。2013年8月12日-2013年10月10日期间每日</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4.2%，2013年10月10日-2013年12月10日期间每日</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4.3%，则投资者在2013年8月12日至2013年10月10日期间，计息天数59天，投资者应计收益=100000×4.2%×59/365=678.90元。在2013年10月10日-2013年12月10日期间，计息天数61天，投资者每日应计收益=100000×4.3%×61/365=718.63元，投资者应计的总收益=678.90+718.63= 1397.53元。</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情况三：假设投资者持有100,000份，持有期间每日</w:t>
      </w:r>
      <w:proofErr w:type="gramStart"/>
      <w:r>
        <w:rPr>
          <w:rFonts w:ascii="楷体_GB2312" w:eastAsia="楷体_GB2312" w:hint="eastAsia"/>
          <w:sz w:val="20"/>
          <w:szCs w:val="20"/>
        </w:rPr>
        <w:t>实际年化收益率</w:t>
      </w:r>
      <w:proofErr w:type="gramEnd"/>
      <w:r>
        <w:rPr>
          <w:rFonts w:ascii="楷体_GB2312" w:eastAsia="楷体_GB2312" w:hint="eastAsia"/>
          <w:sz w:val="20"/>
          <w:szCs w:val="20"/>
        </w:rPr>
        <w:t>为4.2%。投资者于2013年10月9日成功预约赎回50,000份，赎回部分本金持有时间从2013年8月12日至2013年10月10日，计息天数59天，投资者赎回部分本金在当期应计收益=50000×4.2%×59/365=339.45元，投资者于2013年10月11日（含）前收到本息合计50339.45元。投资者于2013年12月8日成功预约赎回50,000份，赎回部分本金持有时间从2013年8月12日至2013年12月10日，计息天数120天，投资者赎回部分本金在当期应计收益=50000×4.2%×120/365=690.41元，投资者于2013年12月11日（含）前收到本息合计50690.41元。</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r>
        <w:rPr>
          <w:rFonts w:ascii="楷体_GB2312" w:eastAsia="楷体_GB2312" w:hint="eastAsia"/>
          <w:b/>
          <w:bCs/>
          <w:sz w:val="20"/>
          <w:szCs w:val="20"/>
        </w:rPr>
        <w:t>测算收益不等于实际收益，投资须谨慎</w:t>
      </w:r>
      <w:r>
        <w:rPr>
          <w:rFonts w:ascii="楷体_GB2312" w:eastAsia="楷体_GB2312" w:hint="eastAsia"/>
          <w:sz w:val="20"/>
          <w:szCs w:val="20"/>
        </w:rPr>
        <w:t>。上述示例采用假设数据计算，并不代表投资者实际可获得的收益。）</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spacing w:line="300" w:lineRule="atLeast"/>
        <w:ind w:left="-600" w:right="-693" w:firstLine="600"/>
        <w:rPr>
          <w:rFonts w:ascii="宋体" w:hAnsi="宋体"/>
          <w:sz w:val="20"/>
          <w:szCs w:val="20"/>
        </w:rPr>
      </w:pPr>
      <w:r>
        <w:rPr>
          <w:rFonts w:ascii="宋体" w:hAnsi="宋体"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七、产品的收益率测算及说明</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1、根据当前所投资工具市场价格测算，本理财产品预计可获得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为中信银行公布的</w:t>
      </w:r>
      <w:proofErr w:type="gramStart"/>
      <w:r>
        <w:rPr>
          <w:rFonts w:ascii="楷体_GB2312" w:eastAsia="楷体_GB2312" w:hint="eastAsia"/>
          <w:sz w:val="20"/>
          <w:szCs w:val="20"/>
        </w:rPr>
        <w:t>年化测算</w:t>
      </w:r>
      <w:proofErr w:type="gramEnd"/>
      <w:r>
        <w:rPr>
          <w:rFonts w:ascii="楷体_GB2312" w:eastAsia="楷体_GB2312" w:hint="eastAsia"/>
          <w:sz w:val="20"/>
          <w:szCs w:val="20"/>
        </w:rPr>
        <w:t>收益率，超过</w:t>
      </w:r>
      <w:proofErr w:type="gramStart"/>
      <w:r>
        <w:rPr>
          <w:rFonts w:ascii="楷体_GB2312" w:eastAsia="楷体_GB2312" w:hint="eastAsia"/>
          <w:sz w:val="20"/>
          <w:szCs w:val="20"/>
        </w:rPr>
        <w:t>年化测算</w:t>
      </w:r>
      <w:proofErr w:type="gramEnd"/>
      <w:r>
        <w:rPr>
          <w:rFonts w:ascii="楷体_GB2312" w:eastAsia="楷体_GB2312" w:hint="eastAsia"/>
          <w:sz w:val="20"/>
          <w:szCs w:val="20"/>
        </w:rPr>
        <w:t>收益率的收益部分作为银行投资管理费。</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2、如果投资资产市值下跌或投资工具发生信用风险,则本产品到</w:t>
      </w:r>
      <w:proofErr w:type="gramStart"/>
      <w:r>
        <w:rPr>
          <w:rFonts w:ascii="楷体_GB2312" w:eastAsia="楷体_GB2312" w:hint="eastAsia"/>
          <w:sz w:val="20"/>
          <w:szCs w:val="20"/>
        </w:rPr>
        <w:t>期年化</w:t>
      </w:r>
      <w:proofErr w:type="gramEnd"/>
      <w:r>
        <w:rPr>
          <w:rFonts w:ascii="楷体_GB2312" w:eastAsia="楷体_GB2312" w:hint="eastAsia"/>
          <w:sz w:val="20"/>
          <w:szCs w:val="20"/>
        </w:rPr>
        <w:t>收益率将可能低于中信银行公布的</w:t>
      </w:r>
      <w:proofErr w:type="gramStart"/>
      <w:r>
        <w:rPr>
          <w:rFonts w:ascii="楷体_GB2312" w:eastAsia="楷体_GB2312" w:hint="eastAsia"/>
          <w:sz w:val="20"/>
          <w:szCs w:val="20"/>
        </w:rPr>
        <w:t>年化测算</w:t>
      </w:r>
      <w:proofErr w:type="gramEnd"/>
      <w:r>
        <w:rPr>
          <w:rFonts w:ascii="楷体_GB2312" w:eastAsia="楷体_GB2312" w:hint="eastAsia"/>
          <w:sz w:val="20"/>
          <w:szCs w:val="20"/>
        </w:rPr>
        <w:t>收益率，甚至可能造成本产品本金及收益部分或全部损失。</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八、产品的提前终止</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1、如遇国家金融政策出现重大调整，债券市场或其他本理财产品投资领域出现重大变化，影响到本理财产品的正常运作时，或中信银行认为需要提前终止本产品的其他情形时，银行有权提前终止本理财产品。</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2、如本理财产品所投资债券信用状况发生恶化，中信银行合理判断可能影响债券到期正常兑付时，中信银行有权部分或全部提前终止本理财产品。</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3、若本产品总份额低于1000万份，银行有权提前终止本产品。</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如果中信银行部分或全部提前终止本理财产品，中信银行将在提前终止日后3个工作日内予以公告，并在提前终止日后3个工作日内将投资者所得收益及本金划转至投资者指定账户。若理财产品部分提前终止，相关清算规则届时另行公告；若理财产品全部提前终止，到期</w:t>
      </w:r>
      <w:proofErr w:type="gramStart"/>
      <w:r>
        <w:rPr>
          <w:rFonts w:ascii="楷体_GB2312" w:eastAsia="楷体_GB2312" w:hint="eastAsia"/>
          <w:sz w:val="20"/>
          <w:szCs w:val="20"/>
        </w:rPr>
        <w:t>日相应</w:t>
      </w:r>
      <w:proofErr w:type="gramEnd"/>
      <w:r>
        <w:rPr>
          <w:rFonts w:ascii="楷体_GB2312" w:eastAsia="楷体_GB2312" w:hint="eastAsia"/>
          <w:sz w:val="20"/>
          <w:szCs w:val="20"/>
        </w:rPr>
        <w:t>调整为提前终止日。</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lastRenderedPageBreak/>
        <w:t>5、任何情况下，中信银行有权部分或全部提前终止本理财产品，并有权修改和调整上述提前终止规则。</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6、投资者在本产品赎回期外无提前终止权。</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九、理财产品的延期支付</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理财产品在下列情况下可能出现延期支付的情况：</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（1）如在理财产品终止或投资者赎回</w:t>
      </w:r>
      <w:proofErr w:type="gramStart"/>
      <w:r>
        <w:rPr>
          <w:rFonts w:ascii="楷体_GB2312" w:eastAsia="楷体_GB2312" w:hint="eastAsia"/>
          <w:sz w:val="20"/>
          <w:szCs w:val="20"/>
        </w:rPr>
        <w:t>时相关</w:t>
      </w:r>
      <w:proofErr w:type="gramEnd"/>
      <w:r>
        <w:rPr>
          <w:rFonts w:ascii="楷体_GB2312" w:eastAsia="楷体_GB2312" w:hint="eastAsia"/>
          <w:sz w:val="20"/>
          <w:szCs w:val="20"/>
        </w:rPr>
        <w:t>投资工具违约等情况、债券市场流动性不足导致不能及时变现、后续加入资金不足或其它原因导致货币资金余额不足支付本理财产品本金和收益等赎回所需资金。</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（2）如某日本理财产品投资者赎回份额超过本理财产品上一自然日存续规模的10%。</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如发生上述情况（2），则被视为巨额赎回，在巨额赎回情况下延期支付按如下规则进行：</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在巨额赎回情况下，中信银行有权根据实际投资运作等情况拒绝或延期支付或按比例支付投资者赎回的本金及相关收益。中信银行将尽快对相关资产进行变现，并择日（T日）将延期支付的投资者赎回本金等划转至投资者指定账户。T日具体时间中信银行将进行公告。</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十、延期清算条款</w:t>
      </w:r>
    </w:p>
    <w:p w:rsidR="00C654DA" w:rsidRDefault="00B04975">
      <w:pPr>
        <w:pStyle w:val="p0"/>
        <w:spacing w:line="300" w:lineRule="atLeast"/>
        <w:ind w:left="-2" w:right="32" w:firstLine="400"/>
        <w:rPr>
          <w:rFonts w:ascii="楷体_GB2312" w:eastAsia="楷体_GB2312"/>
          <w:sz w:val="20"/>
          <w:szCs w:val="20"/>
        </w:rPr>
      </w:pPr>
      <w:r>
        <w:rPr>
          <w:rFonts w:ascii="楷体_GB2312" w:eastAsia="楷体_GB2312" w:hint="eastAsia"/>
          <w:sz w:val="20"/>
          <w:szCs w:val="20"/>
        </w:rPr>
        <w:t>如遇国家金融政策、监管政策、相关法律法规发生变化，或债券市场发生重大市场波动，或债券发行人及交易方出现违约或未按约定偿还本息、或债券市场出现流动性不足、债券未能正常买卖结算及其他情形导致的理财本金与收益未能正常、及时收回等,现金类资产不足以兑付本产品终止时投资者的理财本金与收益，则本产品延期清算，产品管理人将尽快对相关资产进行变现，并将变现后的非现金类资产扣除相关费用后向投资者支付理财本金及收益。延期清算期间不计付利息。</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spacing w:line="300" w:lineRule="atLeast"/>
        <w:ind w:left="2" w:right="32"/>
        <w:rPr>
          <w:rFonts w:ascii="黑体" w:eastAsia="黑体" w:hAnsi="黑体"/>
          <w:sz w:val="20"/>
          <w:szCs w:val="20"/>
        </w:rPr>
      </w:pPr>
      <w:r>
        <w:rPr>
          <w:rFonts w:ascii="黑体" w:eastAsia="黑体" w:hAnsi="黑体" w:hint="eastAsia"/>
          <w:sz w:val="20"/>
          <w:szCs w:val="20"/>
        </w:rPr>
        <w:t>十一、拒绝或暂停接受认、申购或赎回申请、暂停或延缓支付赎回款项的情形及处理</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1、管理人可拒绝接受或暂停接受投资者的认、申购申请的情形包括：</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（1）不可抗力或国家经济金融政策发生变化等原因导致本理财产品或本产品无法正常运作；</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（2）证券交易场所或银行间债券市场依法决定停市等情形；</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（3）本理财产品资产规模过大，管理人无法找到合适的投资品种，或继续接受申购可能对理财产品业绩产生影响；</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（4）当产品管理人认为某笔申购申请会有损于理财产品其他份额持有人利益时，可拒绝该笔申购申请；</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（5）法律法规或产品管理人基于审慎考虑认定的其他情形。</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如果投资者的认、申购申请被拒绝，被拒绝的认、申购款项本金将全额退还给投资者，期间不计付利息。</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2、管理人可拒绝接受或暂停接受投资者的赎回申请，暂停或延缓支付赎回款项的情形包括：</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（1）因不可抗力或国家经济金融政策发生变化等原因导致产品管理人不能支付赎回款项；</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（2）证券交易场所或银行间债券市场依法决定停市等情形；</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（3）本理财产品投资的公开或非公开交易市场的资产无法变现，或经产品管理人基于审慎的原则判断资产变现可能会对理财产品投资收益造成重大不利影响的；</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（4）本产品发生巨额赎回情形的；</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（5）法律法规或产品管理人基于审慎考虑认定的其他情形。</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（上述所指申购包含预约申购方式等，赎回包含预约赎回方式等）</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 </w:t>
      </w:r>
    </w:p>
    <w:p w:rsidR="00C654DA" w:rsidRDefault="00B04975">
      <w:pPr>
        <w:pStyle w:val="p0"/>
        <w:ind w:left="2" w:right="46"/>
        <w:rPr>
          <w:rFonts w:ascii="黑体" w:eastAsia="黑体" w:hAnsi="黑体"/>
          <w:sz w:val="20"/>
          <w:szCs w:val="20"/>
        </w:rPr>
      </w:pPr>
      <w:r>
        <w:rPr>
          <w:rFonts w:ascii="黑体" w:eastAsia="黑体" w:hAnsi="黑体" w:hint="eastAsia"/>
          <w:sz w:val="20"/>
          <w:szCs w:val="20"/>
        </w:rPr>
        <w:t>十二、特别提示</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lastRenderedPageBreak/>
        <w:t>1、本产品测算最高</w:t>
      </w:r>
      <w:proofErr w:type="gramStart"/>
      <w:r>
        <w:rPr>
          <w:rFonts w:ascii="楷体_GB2312" w:eastAsia="楷体_GB2312" w:hint="eastAsia"/>
          <w:sz w:val="20"/>
          <w:szCs w:val="20"/>
        </w:rPr>
        <w:t>年化收益率测算仅</w:t>
      </w:r>
      <w:proofErr w:type="gramEnd"/>
      <w:r>
        <w:rPr>
          <w:rFonts w:ascii="楷体_GB2312" w:eastAsia="楷体_GB2312" w:hint="eastAsia"/>
          <w:sz w:val="20"/>
          <w:szCs w:val="20"/>
        </w:rPr>
        <w:t>供投资者参考，并不作为银行向投资者支付理财收益的承诺；投资者所能获得的最终收益以银行实际支付为准，且不超过本产品测算</w:t>
      </w:r>
      <w:proofErr w:type="gramStart"/>
      <w:r>
        <w:rPr>
          <w:rFonts w:ascii="楷体_GB2312" w:eastAsia="楷体_GB2312" w:hint="eastAsia"/>
          <w:sz w:val="20"/>
          <w:szCs w:val="20"/>
        </w:rPr>
        <w:t>最高年化收益率</w:t>
      </w:r>
      <w:proofErr w:type="gramEnd"/>
      <w:r>
        <w:rPr>
          <w:rFonts w:ascii="楷体_GB2312" w:eastAsia="楷体_GB2312" w:hint="eastAsia"/>
          <w:sz w:val="20"/>
          <w:szCs w:val="20"/>
        </w:rPr>
        <w:t>。</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 xml:space="preserve">2、本产品面临的风险包括信用风险、市场风险、流动性风险、提前终止风险、延期清算风险等，将可能导致投资者本金及收益蒙受部分或全部损失。由此产生的理财本金和收益损失的风险由投资者自行承担，中信银行不承担任何返还理财本金及收益的保证责任。  </w:t>
      </w:r>
    </w:p>
    <w:p w:rsidR="00C654DA" w:rsidRDefault="00B04975">
      <w:pPr>
        <w:pStyle w:val="p0"/>
        <w:spacing w:line="300" w:lineRule="atLeast"/>
        <w:ind w:left="2" w:right="32"/>
        <w:rPr>
          <w:rFonts w:ascii="楷体_GB2312" w:eastAsia="楷体_GB2312"/>
          <w:sz w:val="20"/>
          <w:szCs w:val="20"/>
        </w:rPr>
      </w:pPr>
      <w:r>
        <w:rPr>
          <w:rFonts w:ascii="楷体_GB2312" w:eastAsia="楷体_GB2312" w:hint="eastAsia"/>
          <w:sz w:val="20"/>
          <w:szCs w:val="20"/>
        </w:rPr>
        <w:t>3、除本说明书中明确规定的收益或收益分配方式外，任何预计收益、预期收益、测算收益或类似表述均属不具有法律效力的用语，不代表投资者可能获得的实际收益，亦不构成中信银行对本理财产品的任何收益承诺。</w:t>
      </w:r>
    </w:p>
    <w:p w:rsidR="00C654DA" w:rsidRDefault="00B04975">
      <w:pPr>
        <w:pStyle w:val="p26"/>
        <w:rPr>
          <w:rFonts w:ascii="楷体_GB2312" w:eastAsia="楷体_GB2312" w:hint="eastAsia"/>
          <w:sz w:val="22"/>
          <w:szCs w:val="22"/>
          <w:u w:val="single"/>
        </w:rPr>
      </w:pPr>
      <w:r>
        <w:rPr>
          <w:rFonts w:ascii="楷体_GB2312" w:eastAsia="楷体_GB2312" w:hint="eastAsia"/>
          <w:sz w:val="22"/>
          <w:szCs w:val="22"/>
          <w:u w:val="single"/>
        </w:rPr>
        <w:t xml:space="preserve">                                                                           </w:t>
      </w:r>
    </w:p>
    <w:p w:rsidR="00C654DA" w:rsidRDefault="00B04975">
      <w:pPr>
        <w:pStyle w:val="p26"/>
        <w:ind w:right="440"/>
        <w:jc w:val="both"/>
        <w:rPr>
          <w:rFonts w:ascii="黑体" w:eastAsia="黑体" w:hAnsi="黑体"/>
        </w:rPr>
      </w:pPr>
      <w:r>
        <w:rPr>
          <w:rFonts w:ascii="黑体" w:eastAsia="黑体" w:hAnsi="黑体" w:hint="eastAsia"/>
        </w:rPr>
        <w:t>个人客户（签字）：                   中信银行股份有限公司XX分行</w:t>
      </w:r>
    </w:p>
    <w:p w:rsidR="00C654DA" w:rsidRDefault="00B04975">
      <w:pPr>
        <w:pStyle w:val="p26"/>
        <w:ind w:right="440"/>
        <w:jc w:val="both"/>
        <w:rPr>
          <w:rFonts w:ascii="黑体" w:eastAsia="黑体" w:hAnsi="黑体"/>
        </w:rPr>
      </w:pPr>
      <w:r>
        <w:rPr>
          <w:rFonts w:ascii="黑体" w:eastAsia="黑体" w:hAnsi="黑体" w:hint="eastAsia"/>
        </w:rPr>
        <w:t xml:space="preserve">                                  </w:t>
      </w:r>
    </w:p>
    <w:p w:rsidR="00C654DA" w:rsidRDefault="00B04975">
      <w:pPr>
        <w:pStyle w:val="p26"/>
        <w:ind w:right="440"/>
        <w:jc w:val="both"/>
        <w:rPr>
          <w:rFonts w:ascii="黑体" w:eastAsia="黑体" w:hAnsi="黑体"/>
          <w:spacing w:val="10"/>
        </w:rPr>
      </w:pPr>
      <w:r>
        <w:rPr>
          <w:rFonts w:ascii="黑体" w:eastAsia="黑体" w:hAnsi="黑体" w:hint="eastAsia"/>
        </w:rPr>
        <w:t>日期： 年 月 日                      签章：</w:t>
      </w:r>
    </w:p>
    <w:p w:rsidR="00C654DA" w:rsidRDefault="00B04975">
      <w:pPr>
        <w:pStyle w:val="p0"/>
        <w:ind w:right="-790"/>
        <w:rPr>
          <w:rFonts w:ascii="黑体" w:eastAsia="黑体" w:hAnsi="黑体"/>
          <w:sz w:val="24"/>
          <w:szCs w:val="24"/>
        </w:rPr>
      </w:pPr>
      <w:r>
        <w:rPr>
          <w:rFonts w:ascii="黑体" w:eastAsia="黑体" w:hAnsi="黑体" w:hint="eastAsia"/>
          <w:sz w:val="24"/>
          <w:szCs w:val="24"/>
        </w:rPr>
        <w:t xml:space="preserve"> </w:t>
      </w:r>
    </w:p>
    <w:p w:rsidR="00C654DA" w:rsidRDefault="00B04975">
      <w:pPr>
        <w:pStyle w:val="p0"/>
        <w:ind w:right="-790"/>
        <w:rPr>
          <w:rFonts w:ascii="黑体" w:eastAsia="黑体" w:hAnsi="黑体"/>
          <w:sz w:val="24"/>
          <w:szCs w:val="24"/>
        </w:rPr>
      </w:pPr>
      <w:r>
        <w:rPr>
          <w:rFonts w:ascii="黑体" w:eastAsia="黑体" w:hAnsi="黑体" w:hint="eastAsia"/>
          <w:sz w:val="24"/>
          <w:szCs w:val="24"/>
        </w:rPr>
        <w:t>机构客户（盖章）：                    年  月  日</w:t>
      </w:r>
    </w:p>
    <w:p w:rsidR="00C654DA" w:rsidRDefault="00B04975">
      <w:pPr>
        <w:pStyle w:val="p0"/>
        <w:ind w:right="-790"/>
        <w:rPr>
          <w:rFonts w:ascii="黑体" w:eastAsia="黑体" w:hAnsi="黑体"/>
          <w:sz w:val="24"/>
          <w:szCs w:val="24"/>
        </w:rPr>
      </w:pPr>
      <w:r>
        <w:rPr>
          <w:rFonts w:ascii="黑体" w:eastAsia="黑体" w:hAnsi="黑体" w:hint="eastAsia"/>
          <w:sz w:val="24"/>
          <w:szCs w:val="24"/>
        </w:rPr>
        <w:t xml:space="preserve"> </w:t>
      </w:r>
    </w:p>
    <w:p w:rsidR="00C654DA" w:rsidRDefault="00B04975">
      <w:pPr>
        <w:pStyle w:val="p0"/>
        <w:ind w:right="-790"/>
        <w:rPr>
          <w:rFonts w:ascii="黑体" w:eastAsia="黑体" w:hAnsi="黑体"/>
          <w:sz w:val="24"/>
          <w:szCs w:val="24"/>
        </w:rPr>
      </w:pPr>
      <w:r>
        <w:rPr>
          <w:rFonts w:ascii="黑体" w:eastAsia="黑体" w:hAnsi="黑体" w:hint="eastAsia"/>
          <w:sz w:val="24"/>
          <w:szCs w:val="24"/>
        </w:rPr>
        <w:t>法定代表人(或授权代理人)（签章）：</w:t>
      </w:r>
    </w:p>
    <w:p w:rsidR="00C654DA" w:rsidRDefault="00B04975">
      <w:pPr>
        <w:pStyle w:val="p0"/>
        <w:ind w:right="-790"/>
        <w:rPr>
          <w:rFonts w:ascii="黑体" w:eastAsia="黑体" w:hAnsi="黑体"/>
          <w:sz w:val="24"/>
          <w:szCs w:val="24"/>
        </w:rPr>
      </w:pPr>
      <w:r>
        <w:rPr>
          <w:rFonts w:ascii="黑体" w:eastAsia="黑体" w:hAnsi="黑体" w:hint="eastAsia"/>
          <w:sz w:val="24"/>
          <w:szCs w:val="24"/>
        </w:rPr>
        <w:t xml:space="preserve"> </w:t>
      </w:r>
    </w:p>
    <w:p w:rsidR="00C654DA" w:rsidRDefault="00B04975">
      <w:pPr>
        <w:pStyle w:val="p0"/>
        <w:ind w:right="-790"/>
        <w:rPr>
          <w:rFonts w:ascii="黑体" w:eastAsia="黑体" w:hAnsi="黑体"/>
          <w:sz w:val="24"/>
          <w:szCs w:val="24"/>
        </w:rPr>
      </w:pPr>
      <w:r>
        <w:rPr>
          <w:rFonts w:ascii="黑体" w:eastAsia="黑体" w:hAnsi="黑体" w:hint="eastAsia"/>
          <w:sz w:val="24"/>
          <w:szCs w:val="24"/>
        </w:rPr>
        <w:t>日期： 年 月 日</w:t>
      </w:r>
    </w:p>
    <w:p w:rsidR="00B04975" w:rsidRDefault="00B04975">
      <w:pPr>
        <w:pStyle w:val="p26"/>
        <w:rPr>
          <w:rFonts w:ascii="黑体" w:eastAsia="黑体" w:hAnsi="黑体"/>
        </w:rPr>
      </w:pPr>
      <w:r>
        <w:rPr>
          <w:rFonts w:ascii="黑体" w:eastAsia="黑体" w:hAnsi="黑体" w:hint="eastAsia"/>
        </w:rPr>
        <w:t xml:space="preserve"> </w:t>
      </w:r>
    </w:p>
    <w:sectPr w:rsidR="00B04975">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3E75" w:rsidRDefault="00C13E75">
      <w:r>
        <w:separator/>
      </w:r>
    </w:p>
  </w:endnote>
  <w:endnote w:type="continuationSeparator" w:id="0">
    <w:p w:rsidR="00C13E75" w:rsidRDefault="00C13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mp;#23435;&amp;#20307;">
    <w:altName w:val="Times New Roma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3E75" w:rsidRDefault="00C13E75">
      <w:r>
        <w:separator/>
      </w:r>
    </w:p>
  </w:footnote>
  <w:footnote w:type="continuationSeparator" w:id="0">
    <w:p w:rsidR="00C13E75" w:rsidRDefault="00C13E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1232"/>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useFELayout/>
    <w:compatSetting w:name="compatibilityMode" w:uri="http://schemas.microsoft.com/office/word" w:val="14"/>
  </w:compat>
  <w:rsids>
    <w:rsidRoot w:val="005D36BA"/>
    <w:rsid w:val="005C7DCE"/>
    <w:rsid w:val="005D36BA"/>
    <w:rsid w:val="00780CE9"/>
    <w:rsid w:val="00912F08"/>
    <w:rsid w:val="00B04975"/>
    <w:rsid w:val="00BC3107"/>
    <w:rsid w:val="00C13E75"/>
    <w:rsid w:val="00C654DA"/>
    <w:rsid w:val="00F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header" w:uiPriority="99"/>
    <w:lsdException w:name="footer" w:uiPriority="99"/>
    <w:lsdException w:name="caption" w:semiHidden="1" w:unhideWhenUsed="1" w:qFormat="1"/>
    <w:lsdException w:name="annotation reference" w:semiHidden="1"/>
    <w:lsdException w:name="Title" w:qFormat="1"/>
    <w:lsdException w:name="Default Paragraph Font" w:semiHidden="1" w:uiPriority="1" w:unhideWhenUsed="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styleId="a4">
    <w:name w:val="FollowedHyperlink"/>
    <w:basedOn w:val="a0"/>
    <w:rPr>
      <w:color w:val="800080"/>
      <w:u w:val="single"/>
    </w:rPr>
  </w:style>
  <w:style w:type="paragraph" w:styleId="a5">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locked/>
    <w:rPr>
      <w:rFonts w:ascii="宋体" w:eastAsia="宋体" w:hAnsi="宋体" w:cs="宋体" w:hint="eastAsia"/>
      <w:sz w:val="18"/>
      <w:szCs w:val="18"/>
    </w:rPr>
  </w:style>
  <w:style w:type="paragraph" w:styleId="a6">
    <w:name w:val="footer"/>
    <w:basedOn w:val="a"/>
    <w:link w:val="Char0"/>
    <w:uiPriority w:val="99"/>
    <w:pPr>
      <w:tabs>
        <w:tab w:val="center" w:pos="4153"/>
        <w:tab w:val="right" w:pos="8306"/>
      </w:tabs>
      <w:snapToGrid w:val="0"/>
    </w:pPr>
    <w:rPr>
      <w:sz w:val="18"/>
      <w:szCs w:val="18"/>
    </w:rPr>
  </w:style>
  <w:style w:type="character" w:customStyle="1" w:styleId="Char0">
    <w:name w:val="页脚 Char"/>
    <w:basedOn w:val="a0"/>
    <w:link w:val="a6"/>
    <w:uiPriority w:val="99"/>
    <w:locked/>
    <w:rPr>
      <w:rFonts w:ascii="宋体" w:eastAsia="宋体" w:hAnsi="宋体" w:cs="宋体" w:hint="eastAsia"/>
      <w:sz w:val="18"/>
      <w:szCs w:val="18"/>
    </w:rPr>
  </w:style>
  <w:style w:type="paragraph" w:customStyle="1" w:styleId="p0">
    <w:name w:val="p0"/>
    <w:basedOn w:val="a"/>
    <w:pPr>
      <w:jc w:val="both"/>
    </w:pPr>
    <w:rPr>
      <w:rFonts w:ascii="Times New Roman" w:hAnsi="Times New Roman" w:cs="Times New Roman"/>
      <w:sz w:val="21"/>
      <w:szCs w:val="21"/>
    </w:rPr>
  </w:style>
  <w:style w:type="paragraph" w:customStyle="1" w:styleId="p20">
    <w:name w:val="p20"/>
    <w:basedOn w:val="a"/>
    <w:pPr>
      <w:pBdr>
        <w:bottom w:val="single" w:sz="6" w:space="1" w:color="000000"/>
      </w:pBdr>
      <w:jc w:val="center"/>
    </w:pPr>
    <w:rPr>
      <w:rFonts w:ascii="Times New Roman" w:hAnsi="Times New Roman" w:cs="Times New Roman"/>
      <w:sz w:val="18"/>
      <w:szCs w:val="18"/>
    </w:rPr>
  </w:style>
  <w:style w:type="paragraph" w:customStyle="1" w:styleId="p21">
    <w:name w:val="p21"/>
    <w:basedOn w:val="a"/>
    <w:pPr>
      <w:shd w:val="clear" w:color="auto" w:fill="000080"/>
      <w:jc w:val="both"/>
    </w:pPr>
    <w:rPr>
      <w:rFonts w:ascii="Times New Roman" w:hAnsi="Times New Roman" w:cs="Times New Roman"/>
      <w:sz w:val="21"/>
      <w:szCs w:val="21"/>
    </w:rPr>
  </w:style>
  <w:style w:type="paragraph" w:customStyle="1" w:styleId="p22">
    <w:name w:val="p22"/>
    <w:basedOn w:val="a"/>
    <w:rPr>
      <w:rFonts w:ascii="Times New Roman" w:hAnsi="Times New Roman" w:cs="Times New Roman"/>
      <w:b/>
      <w:bCs/>
      <w:sz w:val="21"/>
      <w:szCs w:val="21"/>
    </w:rPr>
  </w:style>
  <w:style w:type="paragraph" w:customStyle="1" w:styleId="p23">
    <w:name w:val="p23"/>
    <w:basedOn w:val="a"/>
    <w:pPr>
      <w:jc w:val="both"/>
    </w:pPr>
    <w:rPr>
      <w:rFonts w:ascii="Times New Roman" w:hAnsi="Times New Roman" w:cs="Times New Roman"/>
      <w:sz w:val="18"/>
      <w:szCs w:val="18"/>
    </w:rPr>
  </w:style>
  <w:style w:type="paragraph" w:customStyle="1" w:styleId="p24">
    <w:name w:val="p24"/>
    <w:basedOn w:val="a"/>
    <w:rPr>
      <w:rFonts w:ascii="Times New Roman" w:hAnsi="Times New Roman" w:cs="Times New Roman"/>
      <w:sz w:val="18"/>
      <w:szCs w:val="18"/>
    </w:rPr>
  </w:style>
  <w:style w:type="paragraph" w:customStyle="1" w:styleId="p25">
    <w:name w:val="p25"/>
    <w:basedOn w:val="a"/>
    <w:rPr>
      <w:rFonts w:ascii="Times New Roman" w:hAnsi="Times New Roman" w:cs="Times New Roman"/>
      <w:sz w:val="21"/>
      <w:szCs w:val="21"/>
    </w:rPr>
  </w:style>
  <w:style w:type="paragraph" w:customStyle="1" w:styleId="p26">
    <w:name w:val="p26"/>
    <w:basedOn w:val="a"/>
    <w:pPr>
      <w:snapToGrid w:val="0"/>
    </w:pPr>
    <w:rPr>
      <w:rFonts w:ascii="&amp;#23435;&amp;#20307;" w:hAnsi="&amp;#23435;&amp;#20307;"/>
      <w:color w:val="000000"/>
    </w:rPr>
  </w:style>
  <w:style w:type="character" w:customStyle="1" w:styleId="10">
    <w:name w:val="10"/>
    <w:basedOn w:val="a0"/>
    <w:rPr>
      <w:rFonts w:ascii="Times New Roman" w:hAnsi="Times New Roman" w:cs="Times New Roman" w:hint="default"/>
      <w:sz w:val="20"/>
      <w:szCs w:val="20"/>
    </w:rPr>
  </w:style>
  <w:style w:type="character" w:customStyle="1" w:styleId="15">
    <w:name w:val="15"/>
    <w:basedOn w:val="a0"/>
    <w:rPr>
      <w:rFonts w:ascii="Times New Roman" w:hAnsi="Times New Roman" w:cs="Times New Roman" w:hint="default"/>
      <w:sz w:val="20"/>
      <w:szCs w:val="20"/>
    </w:rPr>
  </w:style>
  <w:style w:type="character" w:customStyle="1" w:styleId="16">
    <w:name w:val="16"/>
    <w:basedOn w:val="a0"/>
    <w:rPr>
      <w:rFonts w:ascii="Times New Roman" w:hAnsi="Times New Roman" w:cs="Times New Roman" w:hint="default"/>
      <w:sz w:val="21"/>
      <w:szCs w:val="21"/>
    </w:rPr>
  </w:style>
  <w:style w:type="character" w:customStyle="1" w:styleId="17">
    <w:name w:val="17"/>
    <w:basedOn w:val="a0"/>
    <w:rPr>
      <w:rFonts w:ascii="Times New Roman" w:hAnsi="Times New Roman" w:cs="Times New Roman" w:hint="default"/>
      <w:color w:val="0000FF"/>
      <w:sz w:val="20"/>
      <w:szCs w:val="20"/>
      <w:u w:val="single"/>
    </w:rPr>
  </w:style>
  <w:style w:type="character" w:customStyle="1" w:styleId="18">
    <w:name w:val="18"/>
    <w:basedOn w:val="a0"/>
    <w:rPr>
      <w:rFonts w:ascii="Times New Roman" w:hAnsi="Times New Roman" w:cs="Times New Roman" w:hint="default"/>
      <w:sz w:val="18"/>
      <w:szCs w:val="18"/>
    </w:rPr>
  </w:style>
  <w:style w:type="character" w:customStyle="1" w:styleId="19">
    <w:name w:val="19"/>
    <w:basedOn w:val="a0"/>
    <w:rPr>
      <w:rFonts w:ascii="Times New Roman" w:hAnsi="Times New Roman" w:cs="Times New Roman" w:hint="default"/>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header" w:uiPriority="99"/>
    <w:lsdException w:name="footer" w:uiPriority="99"/>
    <w:lsdException w:name="caption" w:semiHidden="1" w:unhideWhenUsed="1" w:qFormat="1"/>
    <w:lsdException w:name="annotation reference" w:semiHidden="1"/>
    <w:lsdException w:name="Title" w:qFormat="1"/>
    <w:lsdException w:name="Default Paragraph Font" w:semiHidden="1" w:uiPriority="1" w:unhideWhenUsed="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styleId="a4">
    <w:name w:val="FollowedHyperlink"/>
    <w:basedOn w:val="a0"/>
    <w:rPr>
      <w:color w:val="800080"/>
      <w:u w:val="single"/>
    </w:rPr>
  </w:style>
  <w:style w:type="paragraph" w:styleId="a5">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locked/>
    <w:rPr>
      <w:rFonts w:ascii="宋体" w:eastAsia="宋体" w:hAnsi="宋体" w:cs="宋体" w:hint="eastAsia"/>
      <w:sz w:val="18"/>
      <w:szCs w:val="18"/>
    </w:rPr>
  </w:style>
  <w:style w:type="paragraph" w:styleId="a6">
    <w:name w:val="footer"/>
    <w:basedOn w:val="a"/>
    <w:link w:val="Char0"/>
    <w:uiPriority w:val="99"/>
    <w:pPr>
      <w:tabs>
        <w:tab w:val="center" w:pos="4153"/>
        <w:tab w:val="right" w:pos="8306"/>
      </w:tabs>
      <w:snapToGrid w:val="0"/>
    </w:pPr>
    <w:rPr>
      <w:sz w:val="18"/>
      <w:szCs w:val="18"/>
    </w:rPr>
  </w:style>
  <w:style w:type="character" w:customStyle="1" w:styleId="Char0">
    <w:name w:val="页脚 Char"/>
    <w:basedOn w:val="a0"/>
    <w:link w:val="a6"/>
    <w:uiPriority w:val="99"/>
    <w:locked/>
    <w:rPr>
      <w:rFonts w:ascii="宋体" w:eastAsia="宋体" w:hAnsi="宋体" w:cs="宋体" w:hint="eastAsia"/>
      <w:sz w:val="18"/>
      <w:szCs w:val="18"/>
    </w:rPr>
  </w:style>
  <w:style w:type="paragraph" w:customStyle="1" w:styleId="p0">
    <w:name w:val="p0"/>
    <w:basedOn w:val="a"/>
    <w:pPr>
      <w:jc w:val="both"/>
    </w:pPr>
    <w:rPr>
      <w:rFonts w:ascii="Times New Roman" w:hAnsi="Times New Roman" w:cs="Times New Roman"/>
      <w:sz w:val="21"/>
      <w:szCs w:val="21"/>
    </w:rPr>
  </w:style>
  <w:style w:type="paragraph" w:customStyle="1" w:styleId="p20">
    <w:name w:val="p20"/>
    <w:basedOn w:val="a"/>
    <w:pPr>
      <w:pBdr>
        <w:bottom w:val="single" w:sz="6" w:space="1" w:color="000000"/>
      </w:pBdr>
      <w:jc w:val="center"/>
    </w:pPr>
    <w:rPr>
      <w:rFonts w:ascii="Times New Roman" w:hAnsi="Times New Roman" w:cs="Times New Roman"/>
      <w:sz w:val="18"/>
      <w:szCs w:val="18"/>
    </w:rPr>
  </w:style>
  <w:style w:type="paragraph" w:customStyle="1" w:styleId="p21">
    <w:name w:val="p21"/>
    <w:basedOn w:val="a"/>
    <w:pPr>
      <w:shd w:val="clear" w:color="auto" w:fill="000080"/>
      <w:jc w:val="both"/>
    </w:pPr>
    <w:rPr>
      <w:rFonts w:ascii="Times New Roman" w:hAnsi="Times New Roman" w:cs="Times New Roman"/>
      <w:sz w:val="21"/>
      <w:szCs w:val="21"/>
    </w:rPr>
  </w:style>
  <w:style w:type="paragraph" w:customStyle="1" w:styleId="p22">
    <w:name w:val="p22"/>
    <w:basedOn w:val="a"/>
    <w:rPr>
      <w:rFonts w:ascii="Times New Roman" w:hAnsi="Times New Roman" w:cs="Times New Roman"/>
      <w:b/>
      <w:bCs/>
      <w:sz w:val="21"/>
      <w:szCs w:val="21"/>
    </w:rPr>
  </w:style>
  <w:style w:type="paragraph" w:customStyle="1" w:styleId="p23">
    <w:name w:val="p23"/>
    <w:basedOn w:val="a"/>
    <w:pPr>
      <w:jc w:val="both"/>
    </w:pPr>
    <w:rPr>
      <w:rFonts w:ascii="Times New Roman" w:hAnsi="Times New Roman" w:cs="Times New Roman"/>
      <w:sz w:val="18"/>
      <w:szCs w:val="18"/>
    </w:rPr>
  </w:style>
  <w:style w:type="paragraph" w:customStyle="1" w:styleId="p24">
    <w:name w:val="p24"/>
    <w:basedOn w:val="a"/>
    <w:rPr>
      <w:rFonts w:ascii="Times New Roman" w:hAnsi="Times New Roman" w:cs="Times New Roman"/>
      <w:sz w:val="18"/>
      <w:szCs w:val="18"/>
    </w:rPr>
  </w:style>
  <w:style w:type="paragraph" w:customStyle="1" w:styleId="p25">
    <w:name w:val="p25"/>
    <w:basedOn w:val="a"/>
    <w:rPr>
      <w:rFonts w:ascii="Times New Roman" w:hAnsi="Times New Roman" w:cs="Times New Roman"/>
      <w:sz w:val="21"/>
      <w:szCs w:val="21"/>
    </w:rPr>
  </w:style>
  <w:style w:type="paragraph" w:customStyle="1" w:styleId="p26">
    <w:name w:val="p26"/>
    <w:basedOn w:val="a"/>
    <w:pPr>
      <w:snapToGrid w:val="0"/>
    </w:pPr>
    <w:rPr>
      <w:rFonts w:ascii="&amp;#23435;&amp;#20307;" w:hAnsi="&amp;#23435;&amp;#20307;"/>
      <w:color w:val="000000"/>
    </w:rPr>
  </w:style>
  <w:style w:type="character" w:customStyle="1" w:styleId="10">
    <w:name w:val="10"/>
    <w:basedOn w:val="a0"/>
    <w:rPr>
      <w:rFonts w:ascii="Times New Roman" w:hAnsi="Times New Roman" w:cs="Times New Roman" w:hint="default"/>
      <w:sz w:val="20"/>
      <w:szCs w:val="20"/>
    </w:rPr>
  </w:style>
  <w:style w:type="character" w:customStyle="1" w:styleId="15">
    <w:name w:val="15"/>
    <w:basedOn w:val="a0"/>
    <w:rPr>
      <w:rFonts w:ascii="Times New Roman" w:hAnsi="Times New Roman" w:cs="Times New Roman" w:hint="default"/>
      <w:sz w:val="20"/>
      <w:szCs w:val="20"/>
    </w:rPr>
  </w:style>
  <w:style w:type="character" w:customStyle="1" w:styleId="16">
    <w:name w:val="16"/>
    <w:basedOn w:val="a0"/>
    <w:rPr>
      <w:rFonts w:ascii="Times New Roman" w:hAnsi="Times New Roman" w:cs="Times New Roman" w:hint="default"/>
      <w:sz w:val="21"/>
      <w:szCs w:val="21"/>
    </w:rPr>
  </w:style>
  <w:style w:type="character" w:customStyle="1" w:styleId="17">
    <w:name w:val="17"/>
    <w:basedOn w:val="a0"/>
    <w:rPr>
      <w:rFonts w:ascii="Times New Roman" w:hAnsi="Times New Roman" w:cs="Times New Roman" w:hint="default"/>
      <w:color w:val="0000FF"/>
      <w:sz w:val="20"/>
      <w:szCs w:val="20"/>
      <w:u w:val="single"/>
    </w:rPr>
  </w:style>
  <w:style w:type="character" w:customStyle="1" w:styleId="18">
    <w:name w:val="18"/>
    <w:basedOn w:val="a0"/>
    <w:rPr>
      <w:rFonts w:ascii="Times New Roman" w:hAnsi="Times New Roman" w:cs="Times New Roman" w:hint="default"/>
      <w:sz w:val="18"/>
      <w:szCs w:val="18"/>
    </w:rPr>
  </w:style>
  <w:style w:type="character" w:customStyle="1" w:styleId="19">
    <w:name w:val="19"/>
    <w:basedOn w:val="a0"/>
    <w:rPr>
      <w:rFonts w:ascii="Times New Roman" w:hAnsi="Times New Roman" w:cs="Times New Roman"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nk.ecitic.com/personal/" TargetMode="External"/><Relationship Id="rId3" Type="http://schemas.openxmlformats.org/officeDocument/2006/relationships/settings" Target="settings.xml"/><Relationship Id="rId7" Type="http://schemas.openxmlformats.org/officeDocument/2006/relationships/hyperlink" Target="http://bank.ecitic.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1455</Words>
  <Characters>8298</Characters>
  <Application>Microsoft Office Word</Application>
  <DocSecurity>0</DocSecurity>
  <Lines>69</Lines>
  <Paragraphs>19</Paragraphs>
  <ScaleCrop>false</ScaleCrop>
  <Company/>
  <LinksUpToDate>false</LinksUpToDate>
  <CharactersWithSpaces>9734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风险揭示书</dc:title>
  <dc:creator>匿名用户</dc:creator>
  <cp:lastModifiedBy>匿名用户</cp:lastModifiedBy>
  <cp:revision>5</cp:revision>
  <dcterms:created xsi:type="dcterms:W3CDTF">2016-05-11T11:33:00Z</dcterms:created>
  <dcterms:modified xsi:type="dcterms:W3CDTF">2016-05-12T07:14:00Z</dcterms:modified>
</cp:coreProperties>
</file>